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023C" w14:textId="77777777" w:rsidR="00035FF9" w:rsidRPr="00794E95" w:rsidRDefault="00035FF9" w:rsidP="00E561CC">
      <w:pPr>
        <w:pStyle w:val="Title"/>
        <w:rPr>
          <w:rFonts w:asciiTheme="minorHAnsi" w:hAnsiTheme="minorHAnsi" w:cstheme="minorHAnsi"/>
          <w:sz w:val="48"/>
          <w:szCs w:val="48"/>
        </w:rPr>
      </w:pPr>
      <w:r w:rsidRPr="00794E95">
        <w:rPr>
          <w:rFonts w:asciiTheme="minorHAnsi" w:hAnsiTheme="minorHAnsi" w:cstheme="minorHAnsi"/>
          <w:sz w:val="48"/>
          <w:szCs w:val="48"/>
        </w:rPr>
        <w:t>Third-Party Cooperative Arrangement Review Instrument</w:t>
      </w:r>
    </w:p>
    <w:p w14:paraId="0C978786" w14:textId="3C6A8D8C" w:rsidR="00035FF9" w:rsidRPr="00794E95" w:rsidRDefault="00035FF9" w:rsidP="00E561CC">
      <w:pPr>
        <w:pStyle w:val="Heading1"/>
        <w:rPr>
          <w:rFonts w:asciiTheme="minorHAnsi" w:hAnsiTheme="minorHAnsi" w:cstheme="minorHAnsi"/>
        </w:rPr>
      </w:pPr>
      <w:r w:rsidRPr="00794E95">
        <w:rPr>
          <w:rFonts w:asciiTheme="minorHAnsi" w:hAnsiTheme="minorHAnsi" w:cstheme="minorHAnsi"/>
        </w:rPr>
        <w:t>Introduction</w:t>
      </w:r>
    </w:p>
    <w:p w14:paraId="2C36DD59" w14:textId="529312F7" w:rsidR="00035FF9" w:rsidRPr="00794E95" w:rsidRDefault="00035FF9" w:rsidP="00C12752">
      <w:pPr>
        <w:ind w:left="720"/>
        <w:rPr>
          <w:rFonts w:cstheme="minorHAnsi"/>
        </w:rPr>
      </w:pPr>
      <w:r w:rsidRPr="00794E95">
        <w:rPr>
          <w:rFonts w:cstheme="minorHAnsi"/>
        </w:rPr>
        <w:t xml:space="preserve">Historically, some vocational rehabilitation (VR) agencies have used sources of match other than State general revenue fund appropriations directed to the designated State unit (DSU) to meet the non-Federal share (match) requirement for Federal VR program funds. Such matching funds can come from a variety of sources. The use of funds other than State general revenue appropriations to the DSU is allowable under the Rehabilitation Act of 1973 (Rehabilitation Act), as amended by Title IV of the Workforce Innovation and Opportunity Act (WIOA), and there are specific statutory requirements pertaining to the use of such funds. A significant number of VR agencies utilize third-party cooperative arrangements (TPCA) </w:t>
      </w:r>
      <w:r w:rsidR="00261C1A" w:rsidRPr="00794E95">
        <w:rPr>
          <w:rFonts w:cstheme="minorHAnsi"/>
        </w:rPr>
        <w:t xml:space="preserve">to enhance and improve the provision of VR services, and </w:t>
      </w:r>
      <w:r w:rsidRPr="00794E95">
        <w:rPr>
          <w:rFonts w:cstheme="minorHAnsi"/>
        </w:rPr>
        <w:t>as a source of match for Federal VR funds. The Federal regulations, which detail the TPCA requirements, in 34 C.F.R. § 361.28 read, in pertinent part, as follows:</w:t>
      </w:r>
    </w:p>
    <w:p w14:paraId="4FD6659D" w14:textId="77777777" w:rsidR="00035FF9" w:rsidRPr="00807E8A" w:rsidRDefault="00035FF9" w:rsidP="00C12752">
      <w:pPr>
        <w:pStyle w:val="Heading2"/>
        <w:keepNext w:val="0"/>
        <w:keepLines w:val="0"/>
        <w:ind w:left="1440" w:hanging="720"/>
        <w:rPr>
          <w:rFonts w:asciiTheme="minorHAnsi" w:hAnsiTheme="minorHAnsi" w:cstheme="minorHAnsi"/>
          <w:color w:val="00003E" w:themeColor="accent1" w:themeShade="80"/>
          <w:sz w:val="24"/>
          <w:szCs w:val="24"/>
        </w:rPr>
      </w:pPr>
      <w:r w:rsidRPr="00807E8A">
        <w:rPr>
          <w:rFonts w:asciiTheme="minorHAnsi" w:hAnsiTheme="minorHAnsi" w:cstheme="minorHAnsi"/>
          <w:color w:val="00003E" w:themeColor="accent1" w:themeShade="80"/>
          <w:sz w:val="24"/>
          <w:szCs w:val="24"/>
        </w:rPr>
        <w:t xml:space="preserve">The designated State unit may enter into a third-party cooperative arrangement for providing or contracting for the provision of vocational rehabilitation services with another State agency or a local public agency that is providing part or all of the non-Federal share in accordance with paragraph (c) of this section, if the designated State unit ensures that— </w:t>
      </w:r>
    </w:p>
    <w:p w14:paraId="6F052068" w14:textId="77777777" w:rsidR="00035FF9" w:rsidRPr="00794E95" w:rsidRDefault="00035FF9" w:rsidP="00C12752">
      <w:pPr>
        <w:pStyle w:val="Heading3"/>
        <w:keepNext w:val="0"/>
        <w:keepLines w:val="0"/>
        <w:ind w:left="2160" w:hanging="720"/>
        <w:rPr>
          <w:rFonts w:asciiTheme="minorHAnsi" w:hAnsiTheme="minorHAnsi" w:cstheme="minorHAnsi"/>
          <w:color w:val="00003E" w:themeColor="accent1" w:themeShade="80"/>
        </w:rPr>
      </w:pPr>
      <w:r w:rsidRPr="00794E95">
        <w:rPr>
          <w:rFonts w:asciiTheme="minorHAnsi" w:hAnsiTheme="minorHAnsi" w:cstheme="minorHAnsi"/>
          <w:color w:val="00003E" w:themeColor="accent1" w:themeShade="80"/>
        </w:rPr>
        <w:t>The services provided by the cooperating agency are not the customary or typical services provided by that agency but are new services that have a vocational rehabilitation focus or existing services that have been modified, adapted, expanded, or reconfigured to have a vocational rehabilitation focus;</w:t>
      </w:r>
    </w:p>
    <w:p w14:paraId="32B936F5" w14:textId="7B154DAC" w:rsidR="00035FF9" w:rsidRPr="00794E95" w:rsidRDefault="00035FF9" w:rsidP="00C12752">
      <w:pPr>
        <w:pStyle w:val="Heading3"/>
        <w:keepNext w:val="0"/>
        <w:keepLines w:val="0"/>
        <w:ind w:left="2160" w:hanging="720"/>
        <w:rPr>
          <w:rFonts w:asciiTheme="minorHAnsi" w:hAnsiTheme="minorHAnsi" w:cstheme="minorHAnsi"/>
          <w:color w:val="00003E" w:themeColor="accent1" w:themeShade="80"/>
        </w:rPr>
      </w:pPr>
      <w:r w:rsidRPr="00794E95">
        <w:rPr>
          <w:rFonts w:asciiTheme="minorHAnsi" w:hAnsiTheme="minorHAnsi" w:cstheme="minorHAnsi"/>
          <w:color w:val="00003E" w:themeColor="accent1" w:themeShade="80"/>
        </w:rPr>
        <w:t xml:space="preserve">The services provided by the cooperating agency are only available to applicants for, or recipients of, </w:t>
      </w:r>
      <w:r w:rsidR="00261C1A" w:rsidRPr="00794E95">
        <w:rPr>
          <w:rFonts w:asciiTheme="minorHAnsi" w:hAnsiTheme="minorHAnsi" w:cstheme="minorHAnsi"/>
          <w:color w:val="00003E" w:themeColor="accent1" w:themeShade="80"/>
        </w:rPr>
        <w:t xml:space="preserve">VR </w:t>
      </w:r>
      <w:r w:rsidRPr="00794E95">
        <w:rPr>
          <w:rFonts w:asciiTheme="minorHAnsi" w:hAnsiTheme="minorHAnsi" w:cstheme="minorHAnsi"/>
          <w:color w:val="00003E" w:themeColor="accent1" w:themeShade="80"/>
        </w:rPr>
        <w:t>services from the designated State unit</w:t>
      </w:r>
      <w:r w:rsidR="00261C1A" w:rsidRPr="00794E95">
        <w:rPr>
          <w:rFonts w:asciiTheme="minorHAnsi" w:hAnsiTheme="minorHAnsi" w:cstheme="minorHAnsi"/>
          <w:color w:val="00003E" w:themeColor="accent1" w:themeShade="80"/>
        </w:rPr>
        <w:t>, including students with disabilities who are potentially eligible for the VR program</w:t>
      </w:r>
      <w:r w:rsidRPr="00794E95">
        <w:rPr>
          <w:rFonts w:asciiTheme="minorHAnsi" w:hAnsiTheme="minorHAnsi" w:cstheme="minorHAnsi"/>
          <w:color w:val="00003E" w:themeColor="accent1" w:themeShade="80"/>
        </w:rPr>
        <w:t>;</w:t>
      </w:r>
    </w:p>
    <w:p w14:paraId="067E348B" w14:textId="77777777" w:rsidR="00035FF9" w:rsidRPr="00794E95" w:rsidRDefault="00035FF9" w:rsidP="00C12752">
      <w:pPr>
        <w:pStyle w:val="Heading3"/>
        <w:keepNext w:val="0"/>
        <w:keepLines w:val="0"/>
        <w:ind w:left="2160" w:hanging="720"/>
        <w:rPr>
          <w:rFonts w:asciiTheme="minorHAnsi" w:hAnsiTheme="minorHAnsi" w:cstheme="minorHAnsi"/>
          <w:color w:val="00003E" w:themeColor="accent1" w:themeShade="80"/>
        </w:rPr>
      </w:pPr>
      <w:r w:rsidRPr="00794E95">
        <w:rPr>
          <w:rFonts w:asciiTheme="minorHAnsi" w:hAnsiTheme="minorHAnsi" w:cstheme="minorHAnsi"/>
          <w:color w:val="00003E" w:themeColor="accent1" w:themeShade="80"/>
        </w:rPr>
        <w:t>Program expenditures and staff providing services under the cooperative arrangement are under the administrative supervision of the designated State unit; and</w:t>
      </w:r>
    </w:p>
    <w:p w14:paraId="32B25C50" w14:textId="54C4248B" w:rsidR="00035FF9" w:rsidRPr="00794E95" w:rsidRDefault="00035FF9" w:rsidP="00C12752">
      <w:pPr>
        <w:pStyle w:val="Heading3"/>
        <w:keepNext w:val="0"/>
        <w:keepLines w:val="0"/>
        <w:ind w:left="2160" w:hanging="720"/>
        <w:rPr>
          <w:rFonts w:asciiTheme="minorHAnsi" w:hAnsiTheme="minorHAnsi" w:cstheme="minorHAnsi"/>
          <w:color w:val="00003E" w:themeColor="accent1" w:themeShade="80"/>
        </w:rPr>
      </w:pPr>
      <w:r w:rsidRPr="00794E95">
        <w:rPr>
          <w:rFonts w:asciiTheme="minorHAnsi" w:hAnsiTheme="minorHAnsi" w:cstheme="minorHAnsi"/>
          <w:color w:val="00003E" w:themeColor="accent1" w:themeShade="80"/>
        </w:rPr>
        <w:t>All requirements of the VR services portion of the Unified or Combined State Plan, including a State’s order of selection (OOS), will apply to all services provided under the cooperative arrangement.</w:t>
      </w:r>
    </w:p>
    <w:p w14:paraId="7F8C3C28" w14:textId="735B8A85" w:rsidR="00D03B33" w:rsidRPr="00807E8A" w:rsidRDefault="00035FF9" w:rsidP="00807E8A">
      <w:pPr>
        <w:pStyle w:val="Heading2"/>
        <w:keepNext w:val="0"/>
        <w:keepLines w:val="0"/>
        <w:spacing w:before="0"/>
        <w:ind w:left="1440" w:hanging="720"/>
        <w:rPr>
          <w:rFonts w:asciiTheme="minorHAnsi" w:hAnsiTheme="minorHAnsi" w:cstheme="minorHAnsi"/>
          <w:color w:val="00003E" w:themeColor="accent1" w:themeShade="80"/>
          <w:sz w:val="24"/>
          <w:szCs w:val="24"/>
        </w:rPr>
      </w:pPr>
      <w:r w:rsidRPr="00807E8A">
        <w:rPr>
          <w:rFonts w:asciiTheme="minorHAnsi" w:hAnsiTheme="minorHAnsi" w:cstheme="minorHAnsi"/>
          <w:color w:val="00003E" w:themeColor="accent1" w:themeShade="80"/>
          <w:sz w:val="24"/>
          <w:szCs w:val="24"/>
        </w:rPr>
        <w:t>If a third-party cooperative arrangement does not comply with the statewideness requirement in 34 C.F.R. § 361.25, the State unit must obtain a waiver of statewideness, in accordance with § 361.26.</w:t>
      </w:r>
    </w:p>
    <w:p w14:paraId="41ECB53B" w14:textId="60F72DBD" w:rsidR="00035FF9" w:rsidRPr="00794E95" w:rsidRDefault="00035FF9" w:rsidP="00E561CC">
      <w:pPr>
        <w:pStyle w:val="Heading1"/>
        <w:rPr>
          <w:rFonts w:asciiTheme="minorHAnsi" w:hAnsiTheme="minorHAnsi" w:cstheme="minorHAnsi"/>
        </w:rPr>
      </w:pPr>
      <w:r w:rsidRPr="00794E95">
        <w:rPr>
          <w:rFonts w:asciiTheme="minorHAnsi" w:hAnsiTheme="minorHAnsi" w:cstheme="minorHAnsi"/>
        </w:rPr>
        <w:lastRenderedPageBreak/>
        <w:t>The Cooperating Agency Must Furnish All or Part of the Non-Federal Share</w:t>
      </w:r>
    </w:p>
    <w:p w14:paraId="30F16516" w14:textId="77777777" w:rsidR="00035FF9" w:rsidRPr="00807E8A" w:rsidRDefault="00035FF9" w:rsidP="00C12752">
      <w:pPr>
        <w:ind w:left="720"/>
        <w:rPr>
          <w:rFonts w:cstheme="minorHAnsi"/>
          <w:color w:val="00003E" w:themeColor="accent1" w:themeShade="80"/>
        </w:rPr>
      </w:pPr>
      <w:r w:rsidRPr="00807E8A">
        <w:rPr>
          <w:rFonts w:cstheme="minorHAnsi"/>
          <w:color w:val="00003E" w:themeColor="accent1" w:themeShade="80"/>
        </w:rPr>
        <w:t xml:space="preserve">The first requirement for TPCAs is that the third-party cooperating agency is a State or local public agency that furnishes all or part of the non-Federal share (34 C.F.R. § 361.28(a)). Public, as applied to an agency, organization, or institution, means that the agency, organization, or institution is under the administrative supervision or control of a government other than the Federal government (34 C.F.R. § 77.1). </w:t>
      </w:r>
      <w:r w:rsidRPr="00807E8A">
        <w:rPr>
          <w:rFonts w:cstheme="minorHAnsi"/>
          <w:i/>
          <w:iCs/>
          <w:color w:val="00003E" w:themeColor="accent1" w:themeShade="80"/>
        </w:rPr>
        <w:t>TPCAs cannot be developed with private non-profit or for-profit entities.</w:t>
      </w:r>
    </w:p>
    <w:p w14:paraId="37BFCFDD" w14:textId="77777777" w:rsidR="00035FF9" w:rsidRPr="00896710" w:rsidRDefault="00035FF9" w:rsidP="00896710">
      <w:pPr>
        <w:pStyle w:val="Heading2"/>
        <w:numPr>
          <w:ilvl w:val="0"/>
          <w:numId w:val="0"/>
        </w:numPr>
        <w:ind w:left="720"/>
        <w:rPr>
          <w:rFonts w:asciiTheme="minorHAnsi" w:hAnsiTheme="minorHAnsi" w:cstheme="minorHAnsi"/>
          <w:sz w:val="24"/>
          <w:szCs w:val="24"/>
        </w:rPr>
      </w:pPr>
      <w:r w:rsidRPr="00896710">
        <w:rPr>
          <w:rFonts w:asciiTheme="minorHAnsi" w:hAnsiTheme="minorHAnsi" w:cstheme="minorHAnsi"/>
          <w:sz w:val="24"/>
          <w:szCs w:val="24"/>
        </w:rPr>
        <w:t>The following questions may be helpful.</w:t>
      </w:r>
    </w:p>
    <w:p w14:paraId="54962714" w14:textId="77777777" w:rsidR="00035FF9" w:rsidRPr="00807E8A" w:rsidRDefault="00035FF9" w:rsidP="006C3955">
      <w:pPr>
        <w:pStyle w:val="Heading3"/>
        <w:spacing w:before="0"/>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t>Is the cooperating agency a State agency or other public agency?</w:t>
      </w:r>
    </w:p>
    <w:p w14:paraId="1F660348" w14:textId="6B81350F" w:rsidR="00035FF9" w:rsidRPr="00807E8A" w:rsidRDefault="00035FF9" w:rsidP="00261C1A">
      <w:pPr>
        <w:pStyle w:val="Heading3"/>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t>Is the cooperating agency furnishing all or part of the non-Federal share for th</w:t>
      </w:r>
      <w:r w:rsidR="00D726C7" w:rsidRPr="00807E8A">
        <w:rPr>
          <w:rFonts w:asciiTheme="minorHAnsi" w:hAnsiTheme="minorHAnsi" w:cstheme="minorHAnsi"/>
          <w:color w:val="00003E" w:themeColor="accent1" w:themeShade="80"/>
        </w:rPr>
        <w:t>e</w:t>
      </w:r>
      <w:r w:rsidRPr="00807E8A">
        <w:rPr>
          <w:rFonts w:asciiTheme="minorHAnsi" w:hAnsiTheme="minorHAnsi" w:cstheme="minorHAnsi"/>
          <w:color w:val="00003E" w:themeColor="accent1" w:themeShade="80"/>
        </w:rPr>
        <w:t xml:space="preserve"> TPCA?</w:t>
      </w:r>
    </w:p>
    <w:p w14:paraId="2798B2E8" w14:textId="77777777" w:rsidR="00035FF9" w:rsidRPr="00807E8A" w:rsidRDefault="00035FF9" w:rsidP="00C12752">
      <w:pPr>
        <w:ind w:left="720"/>
        <w:rPr>
          <w:rFonts w:cstheme="minorHAnsi"/>
          <w:color w:val="00003E" w:themeColor="accent1" w:themeShade="80"/>
        </w:rPr>
      </w:pPr>
      <w:r w:rsidRPr="00807E8A">
        <w:rPr>
          <w:rFonts w:cstheme="minorHAnsi"/>
          <w:color w:val="00003E" w:themeColor="accent1" w:themeShade="80"/>
        </w:rPr>
        <w:t>If the answer to the above questions is NO, the TPCA is not in compliance with the requirements of 34 C.F.R. § 361.28 and 34 C.F.R. § 77.1.</w:t>
      </w:r>
    </w:p>
    <w:p w14:paraId="6E2810D1" w14:textId="77777777" w:rsidR="00E561CC" w:rsidRPr="00807E8A" w:rsidRDefault="00035FF9" w:rsidP="008B5E78">
      <w:pPr>
        <w:spacing w:after="0"/>
        <w:ind w:left="720"/>
        <w:rPr>
          <w:rFonts w:cstheme="minorHAnsi"/>
          <w:color w:val="00003E" w:themeColor="accent1" w:themeShade="80"/>
        </w:rPr>
      </w:pPr>
      <w:r w:rsidRPr="00807E8A">
        <w:rPr>
          <w:rFonts w:cstheme="minorHAnsi"/>
          <w:color w:val="00003E" w:themeColor="accent1" w:themeShade="80"/>
        </w:rPr>
        <w:t>In addition, the Federal VR regulations that detail the TPCA non-Federal share requirements, in 34 C.F.R. § 361.28 read, in pertinent part, as follows:</w:t>
      </w:r>
    </w:p>
    <w:p w14:paraId="2859F5E6" w14:textId="046D3F75" w:rsidR="00035FF9" w:rsidRPr="00280A1C" w:rsidRDefault="00035FF9" w:rsidP="00C2553E">
      <w:pPr>
        <w:pStyle w:val="Heading2"/>
        <w:keepNext w:val="0"/>
        <w:keepLines w:val="0"/>
        <w:numPr>
          <w:ilvl w:val="1"/>
          <w:numId w:val="21"/>
        </w:numPr>
        <w:spacing w:before="0"/>
        <w:ind w:left="1440" w:hanging="720"/>
        <w:rPr>
          <w:rFonts w:asciiTheme="minorHAnsi" w:hAnsiTheme="minorHAnsi" w:cstheme="minorHAnsi"/>
          <w:color w:val="00003E" w:themeColor="accent1" w:themeShade="80"/>
          <w:sz w:val="24"/>
          <w:szCs w:val="24"/>
        </w:rPr>
      </w:pPr>
      <w:r w:rsidRPr="00280A1C">
        <w:rPr>
          <w:rFonts w:asciiTheme="minorHAnsi" w:hAnsiTheme="minorHAnsi" w:cstheme="minorHAnsi"/>
          <w:color w:val="00003E" w:themeColor="accent1" w:themeShade="80"/>
          <w:sz w:val="24"/>
          <w:szCs w:val="24"/>
        </w:rPr>
        <w:t>The cooperating agency's contribution toward the non-Federal share required under the arrangement, as set forth in paragraph (a) of this section, may be made through:</w:t>
      </w:r>
    </w:p>
    <w:p w14:paraId="1E3B44AF" w14:textId="7F6CD4A5" w:rsidR="00035FF9" w:rsidRPr="00807E8A" w:rsidRDefault="00035FF9" w:rsidP="00C2553E">
      <w:pPr>
        <w:pStyle w:val="Heading3"/>
        <w:keepNext w:val="0"/>
        <w:keepLines w:val="0"/>
        <w:ind w:left="2160" w:hanging="720"/>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t>Cash transfers to the designated State unit;</w:t>
      </w:r>
    </w:p>
    <w:p w14:paraId="62C6B607" w14:textId="704011A7" w:rsidR="00035FF9" w:rsidRPr="00807E8A" w:rsidRDefault="00035FF9" w:rsidP="00C2553E">
      <w:pPr>
        <w:pStyle w:val="Heading3"/>
        <w:keepNext w:val="0"/>
        <w:keepLines w:val="0"/>
        <w:ind w:left="2160" w:hanging="720"/>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t xml:space="preserve">Certified personnel expenditures for the time cooperating agency staff spent providing direct vocational rehabilitation services pursuant to a third-party cooperative arrangement that meets the requirements of this section. Certified personnel expenditures may include the allocable portion of staff salary and fringe benefits based upon the amount of time cooperating agency staff directly spent providing </w:t>
      </w:r>
      <w:r w:rsidR="00261C1A" w:rsidRPr="00807E8A">
        <w:rPr>
          <w:rFonts w:asciiTheme="minorHAnsi" w:hAnsiTheme="minorHAnsi" w:cstheme="minorHAnsi"/>
          <w:color w:val="00003E" w:themeColor="accent1" w:themeShade="80"/>
        </w:rPr>
        <w:t xml:space="preserve">VR </w:t>
      </w:r>
      <w:r w:rsidRPr="00807E8A">
        <w:rPr>
          <w:rFonts w:asciiTheme="minorHAnsi" w:hAnsiTheme="minorHAnsi" w:cstheme="minorHAnsi"/>
          <w:color w:val="00003E" w:themeColor="accent1" w:themeShade="80"/>
        </w:rPr>
        <w:t>services under the arrangement; and</w:t>
      </w:r>
    </w:p>
    <w:p w14:paraId="7C421D2E" w14:textId="56DD79FB" w:rsidR="00035FF9" w:rsidRPr="00807E8A" w:rsidRDefault="00633C30" w:rsidP="00C2553E">
      <w:pPr>
        <w:pStyle w:val="Heading3"/>
        <w:keepNext w:val="0"/>
        <w:keepLines w:val="0"/>
        <w:ind w:left="2160" w:hanging="720"/>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t>O</w:t>
      </w:r>
      <w:r w:rsidR="00035FF9" w:rsidRPr="00807E8A">
        <w:rPr>
          <w:rFonts w:asciiTheme="minorHAnsi" w:hAnsiTheme="minorHAnsi" w:cstheme="minorHAnsi"/>
          <w:color w:val="00003E" w:themeColor="accent1" w:themeShade="80"/>
        </w:rPr>
        <w:t xml:space="preserve">ther direct expenditures incurred by the cooperating agency for the sole purpose of providing </w:t>
      </w:r>
      <w:r w:rsidRPr="00807E8A">
        <w:rPr>
          <w:rFonts w:asciiTheme="minorHAnsi" w:hAnsiTheme="minorHAnsi" w:cstheme="minorHAnsi"/>
          <w:color w:val="00003E" w:themeColor="accent1" w:themeShade="80"/>
        </w:rPr>
        <w:t xml:space="preserve">VR </w:t>
      </w:r>
      <w:r w:rsidR="00035FF9" w:rsidRPr="00807E8A">
        <w:rPr>
          <w:rFonts w:asciiTheme="minorHAnsi" w:hAnsiTheme="minorHAnsi" w:cstheme="minorHAnsi"/>
          <w:color w:val="00003E" w:themeColor="accent1" w:themeShade="80"/>
        </w:rPr>
        <w:t>services under this section pursuant to a third-party cooperative arrangement that—</w:t>
      </w:r>
    </w:p>
    <w:p w14:paraId="0F666A78" w14:textId="4CD59420" w:rsidR="00035FF9" w:rsidRPr="00807E8A" w:rsidRDefault="00035FF9" w:rsidP="00C2553E">
      <w:pPr>
        <w:pStyle w:val="Heading4"/>
        <w:keepNext w:val="0"/>
        <w:keepLines w:val="0"/>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t>Meets the requirements of this section;</w:t>
      </w:r>
    </w:p>
    <w:p w14:paraId="670F41B4" w14:textId="38A076A7" w:rsidR="00035FF9" w:rsidRPr="00807E8A" w:rsidRDefault="00035FF9" w:rsidP="00C2553E">
      <w:pPr>
        <w:pStyle w:val="Heading4"/>
        <w:keepNext w:val="0"/>
        <w:keepLines w:val="0"/>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t>Are verifiable as being incurred under the third-party cooperative arrangement; and</w:t>
      </w:r>
    </w:p>
    <w:p w14:paraId="0F7A31BD" w14:textId="42FF0DB6" w:rsidR="00421F01" w:rsidRPr="00807E8A" w:rsidRDefault="00035FF9" w:rsidP="00C2553E">
      <w:pPr>
        <w:pStyle w:val="Heading4"/>
        <w:keepNext w:val="0"/>
        <w:keepLines w:val="0"/>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t>Do not meet the definition of third-party in-kind contributions under 2 C.F.R. § 200.</w:t>
      </w:r>
      <w:r w:rsidR="00805951" w:rsidRPr="00807E8A">
        <w:rPr>
          <w:rFonts w:asciiTheme="minorHAnsi" w:hAnsiTheme="minorHAnsi" w:cstheme="minorHAnsi"/>
          <w:color w:val="00003E" w:themeColor="accent1" w:themeShade="80"/>
        </w:rPr>
        <w:t>1</w:t>
      </w:r>
      <w:r w:rsidRPr="00807E8A">
        <w:rPr>
          <w:rFonts w:asciiTheme="minorHAnsi" w:hAnsiTheme="minorHAnsi" w:cstheme="minorHAnsi"/>
          <w:color w:val="00003E" w:themeColor="accent1" w:themeShade="80"/>
        </w:rPr>
        <w:t>.</w:t>
      </w:r>
    </w:p>
    <w:p w14:paraId="4A8A9EE8" w14:textId="38FAD43D" w:rsidR="00035FF9" w:rsidRPr="00794E95" w:rsidRDefault="00421F01" w:rsidP="00421F01">
      <w:pPr>
        <w:rPr>
          <w:rFonts w:eastAsiaTheme="majorEastAsia" w:cstheme="minorHAnsi"/>
          <w:i/>
          <w:iCs/>
          <w:color w:val="00005D" w:themeColor="accent1" w:themeShade="BF"/>
        </w:rPr>
      </w:pPr>
      <w:r w:rsidRPr="00794E95">
        <w:rPr>
          <w:rFonts w:cstheme="minorHAnsi"/>
        </w:rPr>
        <w:br w:type="page"/>
      </w:r>
    </w:p>
    <w:p w14:paraId="5DD2CDF7" w14:textId="2B1ABF94" w:rsidR="00035FF9" w:rsidRPr="00807E8A" w:rsidRDefault="00035FF9" w:rsidP="00421F01">
      <w:pPr>
        <w:rPr>
          <w:rFonts w:cstheme="minorHAnsi"/>
          <w:color w:val="00003E" w:themeColor="accent1" w:themeShade="80"/>
        </w:rPr>
      </w:pPr>
      <w:r w:rsidRPr="00807E8A">
        <w:rPr>
          <w:rFonts w:cstheme="minorHAnsi"/>
          <w:color w:val="00003E" w:themeColor="accent1" w:themeShade="80"/>
        </w:rPr>
        <w:lastRenderedPageBreak/>
        <w:t>The following questions may be helpful.</w:t>
      </w:r>
    </w:p>
    <w:p w14:paraId="7CDF8309" w14:textId="77777777" w:rsidR="00E561CC" w:rsidRPr="00807E8A" w:rsidRDefault="00035FF9" w:rsidP="00E561CC">
      <w:pPr>
        <w:numPr>
          <w:ilvl w:val="0"/>
          <w:numId w:val="3"/>
        </w:numPr>
        <w:tabs>
          <w:tab w:val="left" w:pos="720"/>
        </w:tabs>
        <w:rPr>
          <w:rFonts w:cstheme="minorHAnsi"/>
          <w:color w:val="00003E" w:themeColor="accent1" w:themeShade="80"/>
          <w:szCs w:val="24"/>
        </w:rPr>
      </w:pPr>
      <w:r w:rsidRPr="00807E8A">
        <w:rPr>
          <w:rFonts w:cstheme="minorHAnsi"/>
          <w:color w:val="00003E" w:themeColor="accent1" w:themeShade="80"/>
          <w:szCs w:val="24"/>
        </w:rPr>
        <w:t>What is/are the source(s) of non-Federal share that the cooperating agency provides under the TPCA (i.e., cash, certified personnel expenditures, other direct expenditures)?</w:t>
      </w:r>
    </w:p>
    <w:p w14:paraId="284D207B" w14:textId="77777777" w:rsidR="00E561CC" w:rsidRPr="00807E8A" w:rsidRDefault="00035FF9" w:rsidP="00E561CC">
      <w:pPr>
        <w:numPr>
          <w:ilvl w:val="0"/>
          <w:numId w:val="3"/>
        </w:numPr>
        <w:tabs>
          <w:tab w:val="left" w:pos="720"/>
        </w:tabs>
        <w:rPr>
          <w:rFonts w:cstheme="minorHAnsi"/>
          <w:color w:val="00003E" w:themeColor="accent1" w:themeShade="80"/>
          <w:szCs w:val="24"/>
        </w:rPr>
      </w:pPr>
      <w:r w:rsidRPr="00807E8A">
        <w:rPr>
          <w:rFonts w:cstheme="minorHAnsi"/>
          <w:color w:val="00003E" w:themeColor="accent1" w:themeShade="80"/>
          <w:szCs w:val="24"/>
        </w:rPr>
        <w:t>How much/what percentage of each source is provided?</w:t>
      </w:r>
    </w:p>
    <w:p w14:paraId="065F9BAD" w14:textId="77777777" w:rsidR="00C12752" w:rsidRPr="00807E8A" w:rsidRDefault="00035FF9" w:rsidP="000E1568">
      <w:pPr>
        <w:numPr>
          <w:ilvl w:val="0"/>
          <w:numId w:val="3"/>
        </w:numPr>
        <w:tabs>
          <w:tab w:val="left" w:pos="720"/>
        </w:tabs>
        <w:rPr>
          <w:rFonts w:cstheme="minorHAnsi"/>
          <w:color w:val="00003E" w:themeColor="accent1" w:themeShade="80"/>
        </w:rPr>
      </w:pPr>
      <w:r w:rsidRPr="00807E8A">
        <w:rPr>
          <w:rFonts w:cstheme="minorHAnsi"/>
          <w:color w:val="00003E" w:themeColor="accent1" w:themeShade="80"/>
          <w:szCs w:val="24"/>
        </w:rPr>
        <w:t>What internal controls has the VR agency established to ensure that non-Federal share is reasonable, necessary, and allocable to the TPCA, making it allowable as match for the VR program?</w:t>
      </w:r>
    </w:p>
    <w:p w14:paraId="149F74F1" w14:textId="77777777" w:rsidR="00C12752" w:rsidRPr="00807E8A" w:rsidRDefault="00035FF9" w:rsidP="0010427E">
      <w:pPr>
        <w:numPr>
          <w:ilvl w:val="0"/>
          <w:numId w:val="3"/>
        </w:numPr>
        <w:tabs>
          <w:tab w:val="left" w:pos="720"/>
        </w:tabs>
        <w:rPr>
          <w:rFonts w:cstheme="minorHAnsi"/>
          <w:color w:val="00003E" w:themeColor="accent1" w:themeShade="80"/>
        </w:rPr>
      </w:pPr>
      <w:r w:rsidRPr="00807E8A">
        <w:rPr>
          <w:rFonts w:cstheme="minorHAnsi"/>
          <w:color w:val="00003E" w:themeColor="accent1" w:themeShade="80"/>
        </w:rPr>
        <w:t>Is cash transferred directly by the cooperating agency into the sole account of the VR agency?</w:t>
      </w:r>
    </w:p>
    <w:p w14:paraId="5941B55F" w14:textId="380E37D0" w:rsidR="00C12752" w:rsidRPr="00807E8A" w:rsidRDefault="00035FF9" w:rsidP="00F0562A">
      <w:pPr>
        <w:numPr>
          <w:ilvl w:val="0"/>
          <w:numId w:val="3"/>
        </w:numPr>
        <w:tabs>
          <w:tab w:val="left" w:pos="720"/>
        </w:tabs>
        <w:rPr>
          <w:rFonts w:cstheme="minorHAnsi"/>
          <w:color w:val="00003E" w:themeColor="accent1" w:themeShade="80"/>
        </w:rPr>
      </w:pPr>
      <w:r w:rsidRPr="00807E8A">
        <w:rPr>
          <w:rFonts w:cstheme="minorHAnsi"/>
          <w:color w:val="00003E" w:themeColor="accent1" w:themeShade="80"/>
        </w:rPr>
        <w:t xml:space="preserve">Are certified personnel expenditures submitted by the cooperating agency along with supporting documentation (e.g., personnel activity reports) to demonstrate time worked on </w:t>
      </w:r>
      <w:r w:rsidR="00633C30" w:rsidRPr="00807E8A">
        <w:rPr>
          <w:rFonts w:cstheme="minorHAnsi"/>
          <w:color w:val="00003E" w:themeColor="accent1" w:themeShade="80"/>
        </w:rPr>
        <w:t xml:space="preserve">direct VR services under </w:t>
      </w:r>
      <w:r w:rsidRPr="00807E8A">
        <w:rPr>
          <w:rFonts w:cstheme="minorHAnsi"/>
          <w:color w:val="00003E" w:themeColor="accent1" w:themeShade="80"/>
        </w:rPr>
        <w:t xml:space="preserve">the TPCA vs. time not worked on </w:t>
      </w:r>
      <w:r w:rsidR="00633C30" w:rsidRPr="00807E8A">
        <w:rPr>
          <w:rFonts w:cstheme="minorHAnsi"/>
          <w:color w:val="00003E" w:themeColor="accent1" w:themeShade="80"/>
        </w:rPr>
        <w:t xml:space="preserve">direct VR services under </w:t>
      </w:r>
      <w:r w:rsidRPr="00807E8A">
        <w:rPr>
          <w:rFonts w:cstheme="minorHAnsi"/>
          <w:color w:val="00003E" w:themeColor="accent1" w:themeShade="80"/>
        </w:rPr>
        <w:t>the TPCA?</w:t>
      </w:r>
    </w:p>
    <w:p w14:paraId="3A09BDBE" w14:textId="77777777" w:rsidR="00C12752" w:rsidRPr="00807E8A" w:rsidRDefault="00035FF9" w:rsidP="00C12752">
      <w:pPr>
        <w:numPr>
          <w:ilvl w:val="0"/>
          <w:numId w:val="3"/>
        </w:numPr>
        <w:tabs>
          <w:tab w:val="left" w:pos="720"/>
        </w:tabs>
        <w:rPr>
          <w:rFonts w:cstheme="minorHAnsi"/>
          <w:color w:val="00003E" w:themeColor="accent1" w:themeShade="80"/>
        </w:rPr>
      </w:pPr>
      <w:r w:rsidRPr="00807E8A">
        <w:rPr>
          <w:rFonts w:cstheme="minorHAnsi"/>
          <w:color w:val="00003E" w:themeColor="accent1" w:themeShade="80"/>
        </w:rPr>
        <w:t>Are other direct expenditures submitted by the cooperating agency along with supporting documentation (e.g., receipts) that ensures the expenditures were incurred during the time the TPCA contract was in force, for the sole purpose of providing VR services to applicants and recipients of VR services under the TPCA?</w:t>
      </w:r>
    </w:p>
    <w:p w14:paraId="66A2D178" w14:textId="63795CA8" w:rsidR="00B27C88" w:rsidRPr="00807E8A" w:rsidRDefault="00035FF9" w:rsidP="00C12752">
      <w:pPr>
        <w:numPr>
          <w:ilvl w:val="0"/>
          <w:numId w:val="3"/>
        </w:numPr>
        <w:tabs>
          <w:tab w:val="left" w:pos="720"/>
        </w:tabs>
        <w:rPr>
          <w:rFonts w:cstheme="minorHAnsi"/>
          <w:color w:val="00003E" w:themeColor="accent1" w:themeShade="80"/>
        </w:rPr>
      </w:pPr>
      <w:r w:rsidRPr="00807E8A">
        <w:rPr>
          <w:rFonts w:cstheme="minorHAnsi"/>
          <w:color w:val="00003E" w:themeColor="accent1" w:themeShade="80"/>
        </w:rPr>
        <w:t>Is there a budget within the TPCA contract that specifically identifies the portion of allowable costs that meet the 34 C.F.R. § 361.28 provisions, including those incurred as non-Federal share for the direct provision of VR services, and those incurred with Federal VR funds?</w:t>
      </w:r>
    </w:p>
    <w:p w14:paraId="41E472DF" w14:textId="77777777" w:rsidR="00B27C88" w:rsidRPr="00807E8A" w:rsidRDefault="00B27C88">
      <w:pPr>
        <w:rPr>
          <w:rFonts w:cstheme="minorHAnsi"/>
          <w:color w:val="00003E" w:themeColor="accent1" w:themeShade="80"/>
        </w:rPr>
      </w:pPr>
      <w:r w:rsidRPr="00807E8A">
        <w:rPr>
          <w:rFonts w:cstheme="minorHAnsi"/>
          <w:color w:val="00003E" w:themeColor="accent1" w:themeShade="80"/>
        </w:rPr>
        <w:br w:type="page"/>
      </w:r>
    </w:p>
    <w:p w14:paraId="0F4ACB21" w14:textId="58346DAA" w:rsidR="00035FF9" w:rsidRPr="00794E95" w:rsidRDefault="00035FF9" w:rsidP="00B9507B">
      <w:pPr>
        <w:pStyle w:val="Heading1"/>
        <w:rPr>
          <w:rFonts w:asciiTheme="minorHAnsi" w:hAnsiTheme="minorHAnsi" w:cstheme="minorHAnsi"/>
        </w:rPr>
      </w:pPr>
      <w:r w:rsidRPr="00794E95">
        <w:rPr>
          <w:rFonts w:asciiTheme="minorHAnsi" w:hAnsiTheme="minorHAnsi" w:cstheme="minorHAnsi"/>
        </w:rPr>
        <w:lastRenderedPageBreak/>
        <w:t>New or Modified Services with a VR Focus</w:t>
      </w:r>
    </w:p>
    <w:p w14:paraId="435F5EFF" w14:textId="77777777" w:rsidR="00035FF9" w:rsidRPr="00807E8A" w:rsidRDefault="00035FF9" w:rsidP="00F47410">
      <w:pPr>
        <w:ind w:left="720"/>
        <w:rPr>
          <w:rFonts w:cstheme="minorHAnsi"/>
          <w:color w:val="00003E" w:themeColor="accent1" w:themeShade="80"/>
        </w:rPr>
      </w:pPr>
      <w:r w:rsidRPr="00807E8A">
        <w:rPr>
          <w:rFonts w:cstheme="minorHAnsi"/>
          <w:color w:val="00003E" w:themeColor="accent1" w:themeShade="80"/>
        </w:rPr>
        <w:t>The second requirement for TPCAs is “the services provided by the cooperating agency are not the customary or typical services provided by that agency but are new services that have a VR focus or existing services that have been modified, adapted, expanded, or reconfigured to have a VR focus” (34 C.F.R. § 361.28(a)(1)). The question of whether services are “new” or “modified, adapted, expanded, or reconfigured” may be difficult to discern. The services cannot be services that the cooperating agency is providing or has the legal responsibility to provide.</w:t>
      </w:r>
    </w:p>
    <w:p w14:paraId="3CCC2458" w14:textId="77777777" w:rsidR="00035FF9" w:rsidRPr="008E3AC3" w:rsidRDefault="00035FF9" w:rsidP="008E3AC3">
      <w:pPr>
        <w:pStyle w:val="Heading2"/>
        <w:numPr>
          <w:ilvl w:val="0"/>
          <w:numId w:val="0"/>
        </w:numPr>
        <w:ind w:left="720"/>
        <w:rPr>
          <w:rFonts w:asciiTheme="minorHAnsi" w:hAnsiTheme="minorHAnsi" w:cstheme="minorHAnsi"/>
          <w:sz w:val="24"/>
          <w:szCs w:val="24"/>
        </w:rPr>
      </w:pPr>
      <w:r w:rsidRPr="008E3AC3">
        <w:rPr>
          <w:rFonts w:asciiTheme="minorHAnsi" w:hAnsiTheme="minorHAnsi" w:cstheme="minorHAnsi"/>
          <w:sz w:val="24"/>
          <w:szCs w:val="24"/>
        </w:rPr>
        <w:t>The following questions may be helpful in determining whether a service is “new” or “modified, adapted, expanded, or reconfigured.”</w:t>
      </w:r>
    </w:p>
    <w:p w14:paraId="7B24286D" w14:textId="11876592" w:rsidR="00D726C7" w:rsidRPr="00807E8A" w:rsidRDefault="00D726C7" w:rsidP="008E3AC3">
      <w:pPr>
        <w:pStyle w:val="Heading3"/>
      </w:pPr>
      <w:r w:rsidRPr="00807E8A">
        <w:t>Has the VR agency completed a written assessment of the public cooperating agency that clearly identifies:</w:t>
      </w:r>
    </w:p>
    <w:p w14:paraId="165EF8F7" w14:textId="40E9E27D" w:rsidR="00D726C7" w:rsidRPr="00807E8A" w:rsidRDefault="00D726C7" w:rsidP="00DF2DA1">
      <w:pPr>
        <w:pStyle w:val="ListParagraph"/>
        <w:numPr>
          <w:ilvl w:val="0"/>
          <w:numId w:val="23"/>
        </w:numPr>
        <w:rPr>
          <w:rFonts w:cstheme="minorHAnsi"/>
          <w:color w:val="00003E" w:themeColor="accent1" w:themeShade="80"/>
        </w:rPr>
      </w:pPr>
      <w:r w:rsidRPr="00807E8A">
        <w:rPr>
          <w:rFonts w:cstheme="minorHAnsi"/>
          <w:color w:val="00003E" w:themeColor="accent1" w:themeShade="80"/>
        </w:rPr>
        <w:t>the scope of services (customary or typical) the public cooperating agency was providing prior to the implementation of the TPCA;</w:t>
      </w:r>
    </w:p>
    <w:p w14:paraId="3622628B" w14:textId="512CAD31" w:rsidR="00D726C7" w:rsidRPr="00807E8A" w:rsidRDefault="00D726C7" w:rsidP="00DF2DA1">
      <w:pPr>
        <w:pStyle w:val="ListParagraph"/>
        <w:numPr>
          <w:ilvl w:val="0"/>
          <w:numId w:val="23"/>
        </w:numPr>
        <w:rPr>
          <w:rFonts w:cstheme="minorHAnsi"/>
          <w:color w:val="00003E" w:themeColor="accent1" w:themeShade="80"/>
        </w:rPr>
      </w:pPr>
      <w:r w:rsidRPr="00807E8A">
        <w:rPr>
          <w:rFonts w:cstheme="minorHAnsi"/>
          <w:color w:val="00003E" w:themeColor="accent1" w:themeShade="80"/>
          <w:szCs w:val="24"/>
        </w:rPr>
        <w:t>the new services or how existing services were modified, expanded or adapted to have a VR focus;</w:t>
      </w:r>
    </w:p>
    <w:p w14:paraId="302F13FE" w14:textId="7BA5B420" w:rsidR="00D726C7" w:rsidRPr="00807E8A" w:rsidRDefault="00D726C7" w:rsidP="00DF2DA1">
      <w:pPr>
        <w:pStyle w:val="ListParagraph"/>
        <w:numPr>
          <w:ilvl w:val="0"/>
          <w:numId w:val="23"/>
        </w:numPr>
        <w:rPr>
          <w:rFonts w:cstheme="minorHAnsi"/>
          <w:color w:val="00003E" w:themeColor="accent1" w:themeShade="80"/>
        </w:rPr>
      </w:pPr>
      <w:r w:rsidRPr="00807E8A">
        <w:rPr>
          <w:rFonts w:cstheme="minorHAnsi"/>
          <w:color w:val="00003E" w:themeColor="accent1" w:themeShade="80"/>
          <w:szCs w:val="24"/>
        </w:rPr>
        <w:t>whether there is a substantive difference between the customary or typical services provided by the cooperating agency prior to the TPCA and “new” or “modified, adapted, expanded, or reconfigured” VR services;</w:t>
      </w:r>
    </w:p>
    <w:p w14:paraId="6817C906" w14:textId="46ECB3E1" w:rsidR="00110832" w:rsidRPr="00807E8A" w:rsidRDefault="00D726C7" w:rsidP="00DF2DA1">
      <w:pPr>
        <w:pStyle w:val="ListParagraph"/>
        <w:numPr>
          <w:ilvl w:val="0"/>
          <w:numId w:val="23"/>
        </w:numPr>
        <w:rPr>
          <w:rFonts w:cstheme="minorHAnsi"/>
          <w:color w:val="00003E" w:themeColor="accent1" w:themeShade="80"/>
        </w:rPr>
      </w:pPr>
      <w:r w:rsidRPr="00807E8A">
        <w:rPr>
          <w:rFonts w:cstheme="minorHAnsi"/>
          <w:color w:val="00003E" w:themeColor="accent1" w:themeShade="80"/>
          <w:szCs w:val="24"/>
        </w:rPr>
        <w:t>were the TPCA staff already providing the same VR services to applicants/recipients of VR services prior to the TPCA’s implementation</w:t>
      </w:r>
      <w:r w:rsidR="004439F5" w:rsidRPr="00807E8A">
        <w:rPr>
          <w:rFonts w:cstheme="minorHAnsi"/>
          <w:color w:val="00003E" w:themeColor="accent1" w:themeShade="80"/>
          <w:szCs w:val="24"/>
        </w:rPr>
        <w:t>?</w:t>
      </w:r>
    </w:p>
    <w:p w14:paraId="01BD9FC6" w14:textId="1AE5B12D" w:rsidR="004D7F81" w:rsidRPr="00807E8A" w:rsidRDefault="004D7F81" w:rsidP="006656B0">
      <w:pPr>
        <w:pStyle w:val="Heading3"/>
        <w:ind w:left="2160" w:hanging="720"/>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t>Does the TPCA detail the new services or how existing services were modified, expanded, or adapted to have a VR focus?</w:t>
      </w:r>
    </w:p>
    <w:p w14:paraId="6F041E16" w14:textId="4CB473D8" w:rsidR="004D7F81" w:rsidRPr="00807E8A" w:rsidRDefault="004D7F81" w:rsidP="006656B0">
      <w:pPr>
        <w:pStyle w:val="Heading3"/>
        <w:keepNext w:val="0"/>
        <w:keepLines w:val="0"/>
        <w:ind w:left="2160" w:hanging="720"/>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t>When was the TPCA program started, and what customary services were being provided by the cooperating agency prior to that time?</w:t>
      </w:r>
    </w:p>
    <w:p w14:paraId="7E9B1749" w14:textId="5DFDDC95" w:rsidR="00035FF9" w:rsidRPr="00807E8A" w:rsidRDefault="00857EAC" w:rsidP="006656B0">
      <w:pPr>
        <w:pStyle w:val="Heading3"/>
        <w:keepNext w:val="0"/>
        <w:keepLines w:val="0"/>
        <w:ind w:left="2160" w:hanging="720"/>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t xml:space="preserve">Does the TPCA specify </w:t>
      </w:r>
      <w:r w:rsidR="00035FF9" w:rsidRPr="00807E8A">
        <w:rPr>
          <w:rFonts w:asciiTheme="minorHAnsi" w:hAnsiTheme="minorHAnsi" w:cstheme="minorHAnsi"/>
          <w:color w:val="00003E" w:themeColor="accent1" w:themeShade="80"/>
        </w:rPr>
        <w:t xml:space="preserve">that the cooperating </w:t>
      </w:r>
      <w:r w:rsidR="00D726C7" w:rsidRPr="00807E8A">
        <w:rPr>
          <w:rFonts w:asciiTheme="minorHAnsi" w:hAnsiTheme="minorHAnsi" w:cstheme="minorHAnsi"/>
          <w:color w:val="00003E" w:themeColor="accent1" w:themeShade="80"/>
        </w:rPr>
        <w:t xml:space="preserve">public </w:t>
      </w:r>
      <w:r w:rsidR="00035FF9" w:rsidRPr="00807E8A">
        <w:rPr>
          <w:rFonts w:asciiTheme="minorHAnsi" w:hAnsiTheme="minorHAnsi" w:cstheme="minorHAnsi"/>
          <w:color w:val="00003E" w:themeColor="accent1" w:themeShade="80"/>
        </w:rPr>
        <w:t xml:space="preserve">agency is responsible for providing the </w:t>
      </w:r>
      <w:r w:rsidR="005464BE" w:rsidRPr="00807E8A">
        <w:rPr>
          <w:rFonts w:asciiTheme="minorHAnsi" w:hAnsiTheme="minorHAnsi" w:cstheme="minorHAnsi"/>
          <w:color w:val="00003E" w:themeColor="accent1" w:themeShade="80"/>
        </w:rPr>
        <w:t xml:space="preserve">new and modified </w:t>
      </w:r>
      <w:r w:rsidR="00035FF9" w:rsidRPr="00807E8A">
        <w:rPr>
          <w:rFonts w:asciiTheme="minorHAnsi" w:hAnsiTheme="minorHAnsi" w:cstheme="minorHAnsi"/>
          <w:color w:val="00003E" w:themeColor="accent1" w:themeShade="80"/>
        </w:rPr>
        <w:t>VR services specified in the arrangement?</w:t>
      </w:r>
      <w:r w:rsidR="005464BE" w:rsidRPr="00807E8A">
        <w:rPr>
          <w:rFonts w:asciiTheme="minorHAnsi" w:hAnsiTheme="minorHAnsi" w:cstheme="minorHAnsi"/>
          <w:color w:val="00003E" w:themeColor="accent1" w:themeShade="80"/>
        </w:rPr>
        <w:t xml:space="preserve"> If not, who is responsible for providing the services? </w:t>
      </w:r>
    </w:p>
    <w:p w14:paraId="4F2C83EE" w14:textId="330DCD56" w:rsidR="00110832" w:rsidRPr="00807E8A" w:rsidRDefault="00110832" w:rsidP="006656B0">
      <w:pPr>
        <w:pStyle w:val="Heading3"/>
        <w:keepNext w:val="0"/>
        <w:keepLines w:val="0"/>
        <w:ind w:left="2160" w:hanging="720"/>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t>Does the TPCA specify the area in which VR services under the TPCA are available?</w:t>
      </w:r>
    </w:p>
    <w:p w14:paraId="1F39A850" w14:textId="77777777" w:rsidR="004439F5" w:rsidRPr="00807E8A" w:rsidRDefault="00110832" w:rsidP="006656B0">
      <w:pPr>
        <w:pStyle w:val="Heading3"/>
        <w:keepNext w:val="0"/>
        <w:keepLines w:val="0"/>
        <w:ind w:left="2160" w:hanging="720"/>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t>Can applicants and recipients of VR services who are outside the TPCA</w:t>
      </w:r>
      <w:r w:rsidR="001A3E92" w:rsidRPr="00807E8A">
        <w:rPr>
          <w:rFonts w:asciiTheme="minorHAnsi" w:hAnsiTheme="minorHAnsi" w:cstheme="minorHAnsi"/>
          <w:color w:val="00003E" w:themeColor="accent1" w:themeShade="80"/>
        </w:rPr>
        <w:t xml:space="preserve"> area</w:t>
      </w:r>
      <w:r w:rsidR="004439F5" w:rsidRPr="00807E8A">
        <w:rPr>
          <w:rFonts w:asciiTheme="minorHAnsi" w:hAnsiTheme="minorHAnsi" w:cstheme="minorHAnsi"/>
          <w:color w:val="00003E" w:themeColor="accent1" w:themeShade="80"/>
        </w:rPr>
        <w:t xml:space="preserve"> still receive services under the TPCA?</w:t>
      </w:r>
    </w:p>
    <w:p w14:paraId="1123CAFE" w14:textId="41CD0A53" w:rsidR="00035FF9" w:rsidRPr="00807E8A" w:rsidRDefault="00035FF9" w:rsidP="006656B0">
      <w:pPr>
        <w:pStyle w:val="Heading3"/>
        <w:keepNext w:val="0"/>
        <w:keepLines w:val="0"/>
        <w:ind w:left="2160" w:hanging="720"/>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lastRenderedPageBreak/>
        <w:t xml:space="preserve">Are the VR services provided through the TPCA program also available to individuals through avenues other than the TPCA? For example, if a high school student is provided </w:t>
      </w:r>
      <w:r w:rsidR="00746A84" w:rsidRPr="00807E8A">
        <w:rPr>
          <w:rFonts w:asciiTheme="minorHAnsi" w:hAnsiTheme="minorHAnsi" w:cstheme="minorHAnsi"/>
          <w:color w:val="00003E" w:themeColor="accent1" w:themeShade="80"/>
        </w:rPr>
        <w:t>a work-based learning experience</w:t>
      </w:r>
      <w:r w:rsidRPr="00807E8A">
        <w:rPr>
          <w:rFonts w:asciiTheme="minorHAnsi" w:hAnsiTheme="minorHAnsi" w:cstheme="minorHAnsi"/>
          <w:color w:val="00003E" w:themeColor="accent1" w:themeShade="80"/>
        </w:rPr>
        <w:t xml:space="preserve"> </w:t>
      </w:r>
      <w:r w:rsidR="00746A84" w:rsidRPr="00807E8A">
        <w:rPr>
          <w:rFonts w:asciiTheme="minorHAnsi" w:hAnsiTheme="minorHAnsi" w:cstheme="minorHAnsi"/>
          <w:color w:val="00003E" w:themeColor="accent1" w:themeShade="80"/>
        </w:rPr>
        <w:t>under</w:t>
      </w:r>
      <w:r w:rsidRPr="00807E8A">
        <w:rPr>
          <w:rFonts w:asciiTheme="minorHAnsi" w:hAnsiTheme="minorHAnsi" w:cstheme="minorHAnsi"/>
          <w:color w:val="00003E" w:themeColor="accent1" w:themeShade="80"/>
        </w:rPr>
        <w:t xml:space="preserve"> a TPCA, are other high school students who are not being served through the TPCA also provided </w:t>
      </w:r>
      <w:r w:rsidR="00746A84" w:rsidRPr="00807E8A">
        <w:rPr>
          <w:rFonts w:asciiTheme="minorHAnsi" w:hAnsiTheme="minorHAnsi" w:cstheme="minorHAnsi"/>
          <w:color w:val="00003E" w:themeColor="accent1" w:themeShade="80"/>
        </w:rPr>
        <w:t>work-based learning experiences</w:t>
      </w:r>
      <w:r w:rsidRPr="00807E8A">
        <w:rPr>
          <w:rFonts w:asciiTheme="minorHAnsi" w:hAnsiTheme="minorHAnsi" w:cstheme="minorHAnsi"/>
          <w:color w:val="00003E" w:themeColor="accent1" w:themeShade="80"/>
        </w:rPr>
        <w:t>?</w:t>
      </w:r>
    </w:p>
    <w:p w14:paraId="7211D85C" w14:textId="6862D838" w:rsidR="004D7F81" w:rsidRPr="00807E8A" w:rsidRDefault="004D7F81" w:rsidP="006656B0">
      <w:pPr>
        <w:pStyle w:val="Heading3"/>
        <w:keepNext w:val="0"/>
        <w:keepLines w:val="0"/>
        <w:ind w:left="2160" w:hanging="720"/>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t>Were the TPCA staff already providing the same VR services to applicants/recipients of VR services prior to the TPCA’s implementation?</w:t>
      </w:r>
    </w:p>
    <w:p w14:paraId="48D423A5" w14:textId="30A2960A" w:rsidR="004D7F81" w:rsidRPr="00807E8A" w:rsidRDefault="004D7F81" w:rsidP="006656B0">
      <w:pPr>
        <w:pStyle w:val="Heading3"/>
        <w:keepNext w:val="0"/>
        <w:keepLines w:val="0"/>
        <w:ind w:left="2160" w:hanging="720"/>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t>Is there a substantive difference between the customary or typical</w:t>
      </w:r>
      <w:r w:rsidR="006C37A7" w:rsidRPr="00807E8A">
        <w:rPr>
          <w:rFonts w:asciiTheme="minorHAnsi" w:hAnsiTheme="minorHAnsi" w:cstheme="minorHAnsi"/>
          <w:color w:val="00003E" w:themeColor="accent1" w:themeShade="80"/>
        </w:rPr>
        <w:t xml:space="preserve"> services provided by the cooperating agency prior to the TPCA and “new” or “modified, adapted, expanded, or reconfigured” VR services?</w:t>
      </w:r>
    </w:p>
    <w:p w14:paraId="5A79F990" w14:textId="6C75C6D7" w:rsidR="004439F5" w:rsidRPr="00807E8A" w:rsidRDefault="006C37A7" w:rsidP="006656B0">
      <w:pPr>
        <w:pStyle w:val="Heading3"/>
        <w:keepNext w:val="0"/>
        <w:keepLines w:val="0"/>
        <w:ind w:left="2160" w:hanging="720"/>
        <w:rPr>
          <w:rFonts w:asciiTheme="minorHAnsi" w:hAnsiTheme="minorHAnsi" w:cstheme="minorHAnsi"/>
          <w:color w:val="00003E" w:themeColor="accent1" w:themeShade="80"/>
        </w:rPr>
      </w:pPr>
      <w:r w:rsidRPr="00807E8A">
        <w:rPr>
          <w:rFonts w:asciiTheme="minorHAnsi" w:hAnsiTheme="minorHAnsi" w:cstheme="minorHAnsi"/>
          <w:color w:val="00003E" w:themeColor="accent1" w:themeShade="80"/>
        </w:rPr>
        <w:t>Does the TPCA contract detail the VR focus of the new or modified services?</w:t>
      </w:r>
    </w:p>
    <w:p w14:paraId="4F0F7DC7" w14:textId="37AF8498" w:rsidR="00B27C88" w:rsidRPr="00807E8A" w:rsidRDefault="00035FF9" w:rsidP="00BD4049">
      <w:pPr>
        <w:spacing w:before="240"/>
        <w:ind w:left="720"/>
        <w:rPr>
          <w:rFonts w:cstheme="minorHAnsi"/>
          <w:color w:val="00003E" w:themeColor="accent1" w:themeShade="80"/>
        </w:rPr>
      </w:pPr>
      <w:r w:rsidRPr="00807E8A">
        <w:rPr>
          <w:rFonts w:cstheme="minorHAnsi"/>
          <w:color w:val="00003E" w:themeColor="accent1" w:themeShade="80"/>
        </w:rPr>
        <w:t>If the services are not “new” or “modified, adapted, expanded, or reconfigured,” then these services cannot be included in the arrangement. If such services are included in the arrangement, the TPCA is out of compliance with 34 C.F.R. § 361.28(a)(1)</w:t>
      </w:r>
      <w:r w:rsidR="00B9507B" w:rsidRPr="00807E8A">
        <w:rPr>
          <w:rFonts w:cstheme="minorHAnsi"/>
          <w:color w:val="00003E" w:themeColor="accent1" w:themeShade="80"/>
        </w:rPr>
        <w:t>.</w:t>
      </w:r>
    </w:p>
    <w:p w14:paraId="637E8CD0" w14:textId="77777777" w:rsidR="00B27C88" w:rsidRPr="00807E8A" w:rsidRDefault="00B27C88">
      <w:pPr>
        <w:rPr>
          <w:rFonts w:cstheme="minorHAnsi"/>
          <w:color w:val="00003E" w:themeColor="accent1" w:themeShade="80"/>
        </w:rPr>
      </w:pPr>
      <w:r w:rsidRPr="00807E8A">
        <w:rPr>
          <w:rFonts w:cstheme="minorHAnsi"/>
          <w:color w:val="00003E" w:themeColor="accent1" w:themeShade="80"/>
        </w:rPr>
        <w:br w:type="page"/>
      </w:r>
    </w:p>
    <w:p w14:paraId="344FAB65" w14:textId="2D33CA43" w:rsidR="00035FF9" w:rsidRPr="00794E95" w:rsidRDefault="00035FF9" w:rsidP="00B9507B">
      <w:pPr>
        <w:pStyle w:val="Heading1"/>
        <w:rPr>
          <w:rFonts w:asciiTheme="minorHAnsi" w:hAnsiTheme="minorHAnsi" w:cstheme="minorHAnsi"/>
        </w:rPr>
      </w:pPr>
      <w:r w:rsidRPr="00794E95">
        <w:rPr>
          <w:rFonts w:asciiTheme="minorHAnsi" w:hAnsiTheme="minorHAnsi" w:cstheme="minorHAnsi"/>
        </w:rPr>
        <w:lastRenderedPageBreak/>
        <w:t>Services are Only Available to Applicants for, or Recipients of, VR Services</w:t>
      </w:r>
    </w:p>
    <w:p w14:paraId="1038D35B" w14:textId="384862A8" w:rsidR="00035FF9" w:rsidRPr="00807E8A" w:rsidRDefault="00035FF9" w:rsidP="00F47410">
      <w:pPr>
        <w:ind w:left="720"/>
        <w:rPr>
          <w:rFonts w:cstheme="minorHAnsi"/>
          <w:color w:val="00003E" w:themeColor="accent1" w:themeShade="80"/>
        </w:rPr>
      </w:pPr>
      <w:r w:rsidRPr="00807E8A">
        <w:rPr>
          <w:rFonts w:cstheme="minorHAnsi"/>
          <w:color w:val="00003E" w:themeColor="accent1" w:themeShade="80"/>
        </w:rPr>
        <w:t>The third regulatory requirement for TPCAs is that “the services provided by the cooperating agency are only available to applicants for, or recipients of, services from the designated State unit” (34 C.F.R. § 361.28(a)(2)). It is important to look for language in the TPCA document that outlines whom the program will serve. Even if the written document states that the program serves only VR applicants or recipients, it is important to discern how it unfolds in practice. Students with disabilities who are potentially eligible for services from the VR program may receive the five pre-employment transition services required activities (34 C.F.R. § 361.48(a)(2)) regardless of whether they have applied or been determined eligible for VR services (34 C.F.R. § 361.48(a)(1)) and are considered recipients of VR services. However, all individuals must be applicants or determined eligible for the VR program to receive any of the VR services provided under 34 C.F.R. § 361.48(b), including when those services are provided under a TPCA.</w:t>
      </w:r>
    </w:p>
    <w:p w14:paraId="6F10FA63" w14:textId="77777777" w:rsidR="00035FF9" w:rsidRPr="00807E8A" w:rsidRDefault="00035FF9" w:rsidP="00F47410">
      <w:pPr>
        <w:ind w:left="720"/>
        <w:rPr>
          <w:rFonts w:cstheme="minorHAnsi"/>
          <w:color w:val="00003E" w:themeColor="accent1" w:themeShade="80"/>
        </w:rPr>
      </w:pPr>
      <w:r w:rsidRPr="00807E8A">
        <w:rPr>
          <w:rFonts w:cstheme="minorHAnsi"/>
          <w:color w:val="00003E" w:themeColor="accent1" w:themeShade="80"/>
        </w:rPr>
        <w:t>The following questions may be helpful in determining whether the services are provided to applicants for, or recipients of, VR services.</w:t>
      </w:r>
    </w:p>
    <w:p w14:paraId="796287DF" w14:textId="77777777" w:rsidR="00035FF9" w:rsidRPr="00807E8A" w:rsidRDefault="00035FF9" w:rsidP="00035FF9">
      <w:pPr>
        <w:numPr>
          <w:ilvl w:val="0"/>
          <w:numId w:val="8"/>
        </w:numPr>
        <w:rPr>
          <w:rFonts w:cstheme="minorHAnsi"/>
          <w:color w:val="00003E" w:themeColor="accent1" w:themeShade="80"/>
          <w:szCs w:val="24"/>
        </w:rPr>
      </w:pPr>
      <w:r w:rsidRPr="00807E8A">
        <w:rPr>
          <w:rFonts w:cstheme="minorHAnsi"/>
          <w:color w:val="00003E" w:themeColor="accent1" w:themeShade="80"/>
          <w:szCs w:val="24"/>
        </w:rPr>
        <w:t>Are all individuals served through the TPCA program applicants for, or recipients of, VR services?</w:t>
      </w:r>
    </w:p>
    <w:p w14:paraId="54036308" w14:textId="77777777" w:rsidR="00035FF9" w:rsidRPr="00807E8A" w:rsidRDefault="00035FF9" w:rsidP="00035FF9">
      <w:pPr>
        <w:numPr>
          <w:ilvl w:val="0"/>
          <w:numId w:val="8"/>
        </w:numPr>
        <w:rPr>
          <w:rFonts w:cstheme="minorHAnsi"/>
          <w:color w:val="00003E" w:themeColor="accent1" w:themeShade="80"/>
          <w:szCs w:val="24"/>
        </w:rPr>
      </w:pPr>
      <w:r w:rsidRPr="00807E8A">
        <w:rPr>
          <w:rFonts w:cstheme="minorHAnsi"/>
          <w:color w:val="00003E" w:themeColor="accent1" w:themeShade="80"/>
          <w:szCs w:val="24"/>
        </w:rPr>
        <w:t>Does the TPCA provide the five pre-employment transition services required activities in 34 C.F.R. § 361.48(a)(2), or other VR services identified in 34 C.F.R. § 361.48(b)?</w:t>
      </w:r>
    </w:p>
    <w:p w14:paraId="11E5A59C" w14:textId="77777777" w:rsidR="00746A84" w:rsidRPr="00807E8A" w:rsidRDefault="00746A84" w:rsidP="00035FF9">
      <w:pPr>
        <w:numPr>
          <w:ilvl w:val="0"/>
          <w:numId w:val="8"/>
        </w:numPr>
        <w:rPr>
          <w:rFonts w:cstheme="minorHAnsi"/>
          <w:color w:val="00003E" w:themeColor="accent1" w:themeShade="80"/>
          <w:szCs w:val="24"/>
        </w:rPr>
      </w:pPr>
      <w:r w:rsidRPr="00807E8A">
        <w:rPr>
          <w:rFonts w:cstheme="minorHAnsi"/>
          <w:color w:val="00003E" w:themeColor="accent1" w:themeShade="80"/>
          <w:szCs w:val="24"/>
        </w:rPr>
        <w:t>How are individuals referred for VR services under the TPCA?</w:t>
      </w:r>
    </w:p>
    <w:p w14:paraId="20FB0ED6" w14:textId="635A2040" w:rsidR="00035FF9" w:rsidRPr="00807E8A" w:rsidRDefault="00746A84" w:rsidP="00035FF9">
      <w:pPr>
        <w:numPr>
          <w:ilvl w:val="0"/>
          <w:numId w:val="8"/>
        </w:numPr>
        <w:rPr>
          <w:rFonts w:cstheme="minorHAnsi"/>
          <w:color w:val="00003E" w:themeColor="accent1" w:themeShade="80"/>
          <w:szCs w:val="24"/>
        </w:rPr>
      </w:pPr>
      <w:r w:rsidRPr="00807E8A">
        <w:rPr>
          <w:rFonts w:cstheme="minorHAnsi"/>
          <w:color w:val="00003E" w:themeColor="accent1" w:themeShade="80"/>
          <w:szCs w:val="24"/>
        </w:rPr>
        <w:t xml:space="preserve">Describe the involvement of and oversight </w:t>
      </w:r>
      <w:r w:rsidR="006C37A7" w:rsidRPr="00807E8A">
        <w:rPr>
          <w:rFonts w:cstheme="minorHAnsi"/>
          <w:color w:val="00003E" w:themeColor="accent1" w:themeShade="80"/>
          <w:szCs w:val="24"/>
        </w:rPr>
        <w:t>that VR</w:t>
      </w:r>
      <w:r w:rsidR="00035FF9" w:rsidRPr="00807E8A">
        <w:rPr>
          <w:rFonts w:cstheme="minorHAnsi"/>
          <w:color w:val="00003E" w:themeColor="accent1" w:themeShade="80"/>
          <w:szCs w:val="24"/>
        </w:rPr>
        <w:t xml:space="preserve"> counselors </w:t>
      </w:r>
      <w:r w:rsidR="000B2A73" w:rsidRPr="00807E8A">
        <w:rPr>
          <w:rFonts w:cstheme="minorHAnsi"/>
          <w:color w:val="00003E" w:themeColor="accent1" w:themeShade="80"/>
          <w:szCs w:val="24"/>
        </w:rPr>
        <w:t xml:space="preserve">have in selecting TPCA participants, delivering VR services and tracking individual progress under </w:t>
      </w:r>
      <w:r w:rsidR="00035FF9" w:rsidRPr="00807E8A">
        <w:rPr>
          <w:rFonts w:cstheme="minorHAnsi"/>
          <w:color w:val="00003E" w:themeColor="accent1" w:themeShade="80"/>
          <w:szCs w:val="24"/>
        </w:rPr>
        <w:t>the TPCA program?</w:t>
      </w:r>
    </w:p>
    <w:p w14:paraId="5A74F4EB" w14:textId="77777777" w:rsidR="00035FF9" w:rsidRPr="00807E8A" w:rsidRDefault="00035FF9" w:rsidP="00F47410">
      <w:pPr>
        <w:ind w:left="720"/>
        <w:rPr>
          <w:rFonts w:cstheme="minorHAnsi"/>
          <w:color w:val="00003E" w:themeColor="accent1" w:themeShade="80"/>
          <w:szCs w:val="24"/>
        </w:rPr>
      </w:pPr>
      <w:r w:rsidRPr="00807E8A">
        <w:rPr>
          <w:rFonts w:cstheme="minorHAnsi"/>
          <w:color w:val="00003E" w:themeColor="accent1" w:themeShade="80"/>
          <w:szCs w:val="24"/>
        </w:rPr>
        <w:t>If the TPCA provides any VR services under 34 C.F.R. § 361.48(b) that have different requirements than the five pre-employment transition services required activities under 34 C.F.R. § 361.48(a)(2), the following questions apply.</w:t>
      </w:r>
    </w:p>
    <w:p w14:paraId="53E4B8A8" w14:textId="77777777" w:rsidR="00035FF9" w:rsidRPr="00807E8A" w:rsidRDefault="00035FF9" w:rsidP="00035FF9">
      <w:pPr>
        <w:numPr>
          <w:ilvl w:val="0"/>
          <w:numId w:val="9"/>
        </w:numPr>
        <w:tabs>
          <w:tab w:val="left" w:pos="720"/>
        </w:tabs>
        <w:rPr>
          <w:rFonts w:cstheme="minorHAnsi"/>
          <w:color w:val="00003E" w:themeColor="accent1" w:themeShade="80"/>
          <w:szCs w:val="24"/>
        </w:rPr>
      </w:pPr>
      <w:r w:rsidRPr="00807E8A">
        <w:rPr>
          <w:rFonts w:cstheme="minorHAnsi"/>
          <w:color w:val="00003E" w:themeColor="accent1" w:themeShade="80"/>
          <w:szCs w:val="24"/>
        </w:rPr>
        <w:t>How do VR counselors ensure that individuals with disabilities have applied or been determined eligible for VR services when a TPCA provides VR services identified in 34 C.F.R. § 361.48(b)?</w:t>
      </w:r>
    </w:p>
    <w:p w14:paraId="088CE458" w14:textId="77777777" w:rsidR="00035FF9" w:rsidRPr="00807E8A" w:rsidRDefault="00035FF9" w:rsidP="00035FF9">
      <w:pPr>
        <w:numPr>
          <w:ilvl w:val="0"/>
          <w:numId w:val="9"/>
        </w:numPr>
        <w:tabs>
          <w:tab w:val="left" w:pos="720"/>
        </w:tabs>
        <w:rPr>
          <w:rFonts w:cstheme="minorHAnsi"/>
          <w:color w:val="00003E" w:themeColor="accent1" w:themeShade="80"/>
          <w:szCs w:val="24"/>
        </w:rPr>
      </w:pPr>
      <w:r w:rsidRPr="00807E8A">
        <w:rPr>
          <w:rFonts w:cstheme="minorHAnsi"/>
          <w:color w:val="00003E" w:themeColor="accent1" w:themeShade="80"/>
          <w:szCs w:val="24"/>
        </w:rPr>
        <w:t>How and when is an application for VR services taken?</w:t>
      </w:r>
    </w:p>
    <w:p w14:paraId="2020B93F" w14:textId="77777777" w:rsidR="00035FF9" w:rsidRPr="00807E8A" w:rsidRDefault="00035FF9" w:rsidP="00035FF9">
      <w:pPr>
        <w:numPr>
          <w:ilvl w:val="0"/>
          <w:numId w:val="9"/>
        </w:numPr>
        <w:tabs>
          <w:tab w:val="left" w:pos="720"/>
        </w:tabs>
        <w:rPr>
          <w:rFonts w:cstheme="minorHAnsi"/>
          <w:color w:val="00003E" w:themeColor="accent1" w:themeShade="80"/>
          <w:szCs w:val="24"/>
        </w:rPr>
      </w:pPr>
      <w:r w:rsidRPr="00807E8A">
        <w:rPr>
          <w:rFonts w:cstheme="minorHAnsi"/>
          <w:color w:val="00003E" w:themeColor="accent1" w:themeShade="80"/>
          <w:szCs w:val="24"/>
        </w:rPr>
        <w:t>How and when is eligibility for VR services determined?</w:t>
      </w:r>
    </w:p>
    <w:p w14:paraId="226F5EFC" w14:textId="77777777" w:rsidR="00035FF9" w:rsidRPr="00807E8A" w:rsidRDefault="00035FF9" w:rsidP="00035FF9">
      <w:pPr>
        <w:numPr>
          <w:ilvl w:val="0"/>
          <w:numId w:val="9"/>
        </w:numPr>
        <w:tabs>
          <w:tab w:val="left" w:pos="720"/>
        </w:tabs>
        <w:rPr>
          <w:rFonts w:cstheme="minorHAnsi"/>
          <w:color w:val="00003E" w:themeColor="accent1" w:themeShade="80"/>
          <w:szCs w:val="24"/>
        </w:rPr>
      </w:pPr>
      <w:r w:rsidRPr="00807E8A">
        <w:rPr>
          <w:rFonts w:cstheme="minorHAnsi"/>
          <w:color w:val="00003E" w:themeColor="accent1" w:themeShade="80"/>
          <w:szCs w:val="24"/>
        </w:rPr>
        <w:lastRenderedPageBreak/>
        <w:t>When is an individualized plan for employment (IPE) written?</w:t>
      </w:r>
    </w:p>
    <w:p w14:paraId="259BACC2" w14:textId="31034ACA" w:rsidR="00035FF9" w:rsidRPr="00807E8A" w:rsidRDefault="00035FF9" w:rsidP="00035FF9">
      <w:pPr>
        <w:numPr>
          <w:ilvl w:val="0"/>
          <w:numId w:val="9"/>
        </w:numPr>
        <w:tabs>
          <w:tab w:val="left" w:pos="720"/>
        </w:tabs>
        <w:rPr>
          <w:rFonts w:cstheme="minorHAnsi"/>
          <w:color w:val="00003E" w:themeColor="accent1" w:themeShade="80"/>
          <w:szCs w:val="24"/>
        </w:rPr>
      </w:pPr>
      <w:r w:rsidRPr="00807E8A">
        <w:rPr>
          <w:rFonts w:cstheme="minorHAnsi"/>
          <w:color w:val="00003E" w:themeColor="accent1" w:themeShade="80"/>
          <w:szCs w:val="24"/>
        </w:rPr>
        <w:t xml:space="preserve">At what point in the VR process are </w:t>
      </w:r>
      <w:r w:rsidR="00746A84" w:rsidRPr="00807E8A">
        <w:rPr>
          <w:rFonts w:cstheme="minorHAnsi"/>
          <w:color w:val="00003E" w:themeColor="accent1" w:themeShade="80"/>
          <w:szCs w:val="24"/>
        </w:rPr>
        <w:t xml:space="preserve">VR </w:t>
      </w:r>
      <w:r w:rsidRPr="00807E8A">
        <w:rPr>
          <w:rFonts w:cstheme="minorHAnsi"/>
          <w:color w:val="00003E" w:themeColor="accent1" w:themeShade="80"/>
          <w:szCs w:val="24"/>
        </w:rPr>
        <w:t>services provided</w:t>
      </w:r>
      <w:r w:rsidR="00746A84" w:rsidRPr="00807E8A">
        <w:rPr>
          <w:rFonts w:cstheme="minorHAnsi"/>
          <w:color w:val="00003E" w:themeColor="accent1" w:themeShade="80"/>
          <w:szCs w:val="24"/>
        </w:rPr>
        <w:t xml:space="preserve"> under the TPCA</w:t>
      </w:r>
      <w:r w:rsidRPr="00807E8A">
        <w:rPr>
          <w:rFonts w:cstheme="minorHAnsi"/>
          <w:color w:val="00003E" w:themeColor="accent1" w:themeShade="80"/>
          <w:szCs w:val="24"/>
        </w:rPr>
        <w:t>?</w:t>
      </w:r>
    </w:p>
    <w:p w14:paraId="25E06D82" w14:textId="7244382E" w:rsidR="00B27C88" w:rsidRPr="00807E8A" w:rsidRDefault="00035FF9" w:rsidP="007445B9">
      <w:pPr>
        <w:ind w:left="720"/>
        <w:rPr>
          <w:rFonts w:cstheme="minorHAnsi"/>
          <w:color w:val="00003E" w:themeColor="accent1" w:themeShade="80"/>
          <w:szCs w:val="24"/>
        </w:rPr>
      </w:pPr>
      <w:r w:rsidRPr="00807E8A">
        <w:rPr>
          <w:rFonts w:cstheme="minorHAnsi"/>
          <w:color w:val="00003E" w:themeColor="accent1" w:themeShade="80"/>
          <w:szCs w:val="24"/>
        </w:rPr>
        <w:t>If the cooperating agency wants to serve individuals who are neither applicants for nor recipients of VR services, the cooperating agency may do so provided no Federal or non-Federal VR funds are used to support those services (e.g., personnel costs, supplies, etc.). The VR agency could use neither Title I funds to serve such individuals, nor consider the costs of serving such individuals paid with non-Federal funds in the VR agency’s efforts to comply with the matching requirements under 34 C.F.R. § 361.60. These individuals must be served outside of the parameters of the TPCA. RSA recommends that the cooperating agency and VR agency clarify such arrangements in the written agreement implementing the TPCA.</w:t>
      </w:r>
    </w:p>
    <w:p w14:paraId="46DEFE0B" w14:textId="77777777" w:rsidR="005838AE" w:rsidRPr="00807E8A" w:rsidRDefault="005838AE">
      <w:pPr>
        <w:rPr>
          <w:rStyle w:val="Heading1Char"/>
          <w:rFonts w:asciiTheme="minorHAnsi" w:hAnsiTheme="minorHAnsi" w:cstheme="minorHAnsi"/>
          <w:color w:val="00003E" w:themeColor="accent1" w:themeShade="80"/>
        </w:rPr>
      </w:pPr>
      <w:r w:rsidRPr="00807E8A">
        <w:rPr>
          <w:rStyle w:val="Heading1Char"/>
          <w:rFonts w:asciiTheme="minorHAnsi" w:hAnsiTheme="minorHAnsi" w:cstheme="minorHAnsi"/>
          <w:color w:val="00003E" w:themeColor="accent1" w:themeShade="80"/>
        </w:rPr>
        <w:br w:type="page"/>
      </w:r>
    </w:p>
    <w:p w14:paraId="603F65B1" w14:textId="32A38982" w:rsidR="00035FF9" w:rsidRPr="00794E95" w:rsidRDefault="00035FF9" w:rsidP="007445B9">
      <w:pPr>
        <w:rPr>
          <w:rStyle w:val="Heading1Char"/>
          <w:rFonts w:asciiTheme="minorHAnsi" w:hAnsiTheme="minorHAnsi" w:cstheme="minorHAnsi"/>
        </w:rPr>
      </w:pPr>
      <w:r w:rsidRPr="00794E95">
        <w:rPr>
          <w:rStyle w:val="Heading1Char"/>
          <w:rFonts w:asciiTheme="minorHAnsi" w:hAnsiTheme="minorHAnsi" w:cstheme="minorHAnsi"/>
        </w:rPr>
        <w:lastRenderedPageBreak/>
        <w:t>V. DSU Maintains Administrative Supervision</w:t>
      </w:r>
    </w:p>
    <w:p w14:paraId="7B2D219F" w14:textId="0E9374EF" w:rsidR="00035FF9" w:rsidRPr="00807E8A" w:rsidRDefault="00035FF9" w:rsidP="007445B9">
      <w:pPr>
        <w:ind w:left="720"/>
        <w:rPr>
          <w:rFonts w:cstheme="minorHAnsi"/>
          <w:color w:val="00003E" w:themeColor="accent1" w:themeShade="80"/>
          <w:szCs w:val="24"/>
        </w:rPr>
      </w:pPr>
      <w:r w:rsidRPr="00807E8A">
        <w:rPr>
          <w:rFonts w:cstheme="minorHAnsi"/>
          <w:color w:val="00003E" w:themeColor="accent1" w:themeShade="80"/>
          <w:szCs w:val="24"/>
        </w:rPr>
        <w:t xml:space="preserve">The fourth regulatory requirement for TPCAs is that “program expenditures and staff providing </w:t>
      </w:r>
      <w:r w:rsidR="000B2A73" w:rsidRPr="00807E8A">
        <w:rPr>
          <w:rFonts w:cstheme="minorHAnsi"/>
          <w:color w:val="00003E" w:themeColor="accent1" w:themeShade="80"/>
          <w:szCs w:val="24"/>
        </w:rPr>
        <w:t xml:space="preserve">VR </w:t>
      </w:r>
      <w:r w:rsidRPr="00807E8A">
        <w:rPr>
          <w:rFonts w:cstheme="minorHAnsi"/>
          <w:color w:val="00003E" w:themeColor="accent1" w:themeShade="80"/>
          <w:szCs w:val="24"/>
        </w:rPr>
        <w:t>services under the cooperative arrangement are under the administrative supervision of the designated State unit” in accordance with 34 C.F.R. § 361.28(a)(3). Staff providing</w:t>
      </w:r>
      <w:r w:rsidR="000B2A73" w:rsidRPr="00807E8A">
        <w:rPr>
          <w:rFonts w:cstheme="minorHAnsi"/>
          <w:color w:val="00003E" w:themeColor="accent1" w:themeShade="80"/>
          <w:szCs w:val="24"/>
        </w:rPr>
        <w:t xml:space="preserve"> VR</w:t>
      </w:r>
      <w:r w:rsidRPr="00807E8A">
        <w:rPr>
          <w:rFonts w:cstheme="minorHAnsi"/>
          <w:color w:val="00003E" w:themeColor="accent1" w:themeShade="80"/>
          <w:szCs w:val="24"/>
        </w:rPr>
        <w:t xml:space="preserve"> services under the TPCA must not be employees of the VR agency.</w:t>
      </w:r>
    </w:p>
    <w:p w14:paraId="0D6FC74D" w14:textId="77777777" w:rsidR="00035FF9" w:rsidRPr="00807E8A" w:rsidRDefault="00035FF9" w:rsidP="007445B9">
      <w:pPr>
        <w:ind w:left="720"/>
        <w:rPr>
          <w:rFonts w:cstheme="minorHAnsi"/>
          <w:color w:val="00003E" w:themeColor="accent1" w:themeShade="80"/>
          <w:szCs w:val="24"/>
        </w:rPr>
      </w:pPr>
      <w:r w:rsidRPr="00807E8A">
        <w:rPr>
          <w:rFonts w:cstheme="minorHAnsi"/>
          <w:color w:val="00003E" w:themeColor="accent1" w:themeShade="80"/>
          <w:szCs w:val="24"/>
        </w:rPr>
        <w:t>The following questions may be helpful in determining whether the DSU is maintaining “administrative supervision.”</w:t>
      </w:r>
    </w:p>
    <w:p w14:paraId="143D963D" w14:textId="1BBD4844" w:rsidR="00035FF9" w:rsidRPr="00807E8A" w:rsidRDefault="00035FF9" w:rsidP="00035FF9">
      <w:pPr>
        <w:numPr>
          <w:ilvl w:val="0"/>
          <w:numId w:val="10"/>
        </w:numPr>
        <w:rPr>
          <w:rFonts w:cstheme="minorHAnsi"/>
          <w:color w:val="00003E" w:themeColor="accent1" w:themeShade="80"/>
          <w:szCs w:val="24"/>
        </w:rPr>
      </w:pPr>
      <w:r w:rsidRPr="00807E8A">
        <w:rPr>
          <w:rFonts w:cstheme="minorHAnsi"/>
          <w:color w:val="00003E" w:themeColor="accent1" w:themeShade="80"/>
          <w:szCs w:val="24"/>
        </w:rPr>
        <w:t xml:space="preserve">Is there a signed agreement supported by a line-item budget that details the personnel and other associated costs? </w:t>
      </w:r>
    </w:p>
    <w:p w14:paraId="4D0B0157" w14:textId="1AC598ED" w:rsidR="000B2A73" w:rsidRPr="00807E8A" w:rsidRDefault="000B2A73" w:rsidP="00035FF9">
      <w:pPr>
        <w:numPr>
          <w:ilvl w:val="0"/>
          <w:numId w:val="10"/>
        </w:numPr>
        <w:rPr>
          <w:rFonts w:cstheme="minorHAnsi"/>
          <w:color w:val="00003E" w:themeColor="accent1" w:themeShade="80"/>
          <w:szCs w:val="24"/>
        </w:rPr>
      </w:pPr>
      <w:r w:rsidRPr="00807E8A">
        <w:rPr>
          <w:rFonts w:cstheme="minorHAnsi"/>
          <w:color w:val="00003E" w:themeColor="accent1" w:themeShade="80"/>
          <w:szCs w:val="24"/>
        </w:rPr>
        <w:t>Is there a job description for the staff delivering VR services under the TPCA that was developed or jointly developed by the VR agency?</w:t>
      </w:r>
      <w:r w:rsidR="008D04D7" w:rsidRPr="00807E8A">
        <w:rPr>
          <w:rFonts w:cstheme="minorHAnsi"/>
          <w:color w:val="00003E" w:themeColor="accent1" w:themeShade="80"/>
          <w:szCs w:val="24"/>
        </w:rPr>
        <w:t xml:space="preserve"> Does the job description include the VR services being provided via the TPCA?</w:t>
      </w:r>
    </w:p>
    <w:p w14:paraId="19B95DA8" w14:textId="7F8E5EBF" w:rsidR="00035FF9" w:rsidRPr="00807E8A" w:rsidRDefault="00035FF9" w:rsidP="00035FF9">
      <w:pPr>
        <w:numPr>
          <w:ilvl w:val="0"/>
          <w:numId w:val="10"/>
        </w:numPr>
        <w:rPr>
          <w:rFonts w:cstheme="minorHAnsi"/>
          <w:color w:val="00003E" w:themeColor="accent1" w:themeShade="80"/>
          <w:szCs w:val="24"/>
        </w:rPr>
      </w:pPr>
      <w:r w:rsidRPr="00807E8A">
        <w:rPr>
          <w:rFonts w:cstheme="minorHAnsi"/>
          <w:color w:val="00003E" w:themeColor="accent1" w:themeShade="80"/>
          <w:szCs w:val="24"/>
        </w:rPr>
        <w:t>Who supervises the provision of VR services</w:t>
      </w:r>
      <w:r w:rsidR="000B2A73" w:rsidRPr="00807E8A">
        <w:rPr>
          <w:rFonts w:cstheme="minorHAnsi"/>
          <w:color w:val="00003E" w:themeColor="accent1" w:themeShade="80"/>
          <w:szCs w:val="24"/>
        </w:rPr>
        <w:t xml:space="preserve"> and TPCA staff</w:t>
      </w:r>
      <w:r w:rsidRPr="00807E8A">
        <w:rPr>
          <w:rFonts w:cstheme="minorHAnsi"/>
          <w:color w:val="00003E" w:themeColor="accent1" w:themeShade="80"/>
          <w:szCs w:val="24"/>
        </w:rPr>
        <w:t xml:space="preserve"> under the TPCA?</w:t>
      </w:r>
    </w:p>
    <w:p w14:paraId="7481CF9F" w14:textId="0216BDCF" w:rsidR="000B2A73" w:rsidRPr="00807E8A" w:rsidRDefault="000B2A73" w:rsidP="00035FF9">
      <w:pPr>
        <w:numPr>
          <w:ilvl w:val="0"/>
          <w:numId w:val="10"/>
        </w:numPr>
        <w:rPr>
          <w:rFonts w:cstheme="minorHAnsi"/>
          <w:color w:val="00003E" w:themeColor="accent1" w:themeShade="80"/>
          <w:szCs w:val="24"/>
        </w:rPr>
      </w:pPr>
      <w:r w:rsidRPr="00807E8A">
        <w:rPr>
          <w:rFonts w:cstheme="minorHAnsi"/>
          <w:color w:val="00003E" w:themeColor="accent1" w:themeShade="80"/>
          <w:szCs w:val="24"/>
        </w:rPr>
        <w:t>Is a requirement included in the TPCA that TPCA staff submit timesheets or personnel activity reports to the VR agency for review? If so, how frequently are timesheets and personnel activity reports submitted?</w:t>
      </w:r>
    </w:p>
    <w:p w14:paraId="3D7C54A3" w14:textId="5F1DAE72" w:rsidR="008D04D7" w:rsidRPr="00807E8A" w:rsidRDefault="008D04D7" w:rsidP="00035FF9">
      <w:pPr>
        <w:numPr>
          <w:ilvl w:val="0"/>
          <w:numId w:val="10"/>
        </w:numPr>
        <w:rPr>
          <w:rFonts w:cstheme="minorHAnsi"/>
          <w:color w:val="00003E" w:themeColor="accent1" w:themeShade="80"/>
          <w:szCs w:val="24"/>
        </w:rPr>
      </w:pPr>
      <w:r w:rsidRPr="00807E8A">
        <w:rPr>
          <w:rFonts w:cstheme="minorHAnsi"/>
          <w:color w:val="00003E" w:themeColor="accent1" w:themeShade="80"/>
          <w:szCs w:val="24"/>
        </w:rPr>
        <w:t>If cooperating public agency staff are working on multiple programs, how is the amount of time being spent on VR services provided under the TPCA being documented?</w:t>
      </w:r>
    </w:p>
    <w:p w14:paraId="774AB20C" w14:textId="01BE1C41" w:rsidR="00035FF9" w:rsidRPr="00807E8A" w:rsidRDefault="000B2A73" w:rsidP="00035FF9">
      <w:pPr>
        <w:numPr>
          <w:ilvl w:val="0"/>
          <w:numId w:val="10"/>
        </w:numPr>
        <w:rPr>
          <w:rFonts w:cstheme="minorHAnsi"/>
          <w:color w:val="00003E" w:themeColor="accent1" w:themeShade="80"/>
          <w:szCs w:val="24"/>
        </w:rPr>
      </w:pPr>
      <w:r w:rsidRPr="00807E8A">
        <w:rPr>
          <w:rFonts w:cstheme="minorHAnsi"/>
          <w:color w:val="00003E" w:themeColor="accent1" w:themeShade="80"/>
          <w:szCs w:val="24"/>
        </w:rPr>
        <w:t>Does the VR agency</w:t>
      </w:r>
      <w:r w:rsidR="00035FF9" w:rsidRPr="00807E8A">
        <w:rPr>
          <w:rFonts w:cstheme="minorHAnsi"/>
          <w:color w:val="00003E" w:themeColor="accent1" w:themeShade="80"/>
          <w:szCs w:val="24"/>
        </w:rPr>
        <w:t xml:space="preserve"> manage and administer the TPCA contract (program and fiscal components)?</w:t>
      </w:r>
      <w:r w:rsidRPr="00807E8A">
        <w:rPr>
          <w:rFonts w:cstheme="minorHAnsi"/>
          <w:color w:val="00003E" w:themeColor="accent1" w:themeShade="80"/>
          <w:szCs w:val="24"/>
        </w:rPr>
        <w:t xml:space="preserve"> If not, who is designated this responsibility?</w:t>
      </w:r>
    </w:p>
    <w:p w14:paraId="079D6329" w14:textId="10388AA9" w:rsidR="00035FF9" w:rsidRPr="00807E8A" w:rsidRDefault="00035FF9" w:rsidP="00035FF9">
      <w:pPr>
        <w:numPr>
          <w:ilvl w:val="0"/>
          <w:numId w:val="10"/>
        </w:numPr>
        <w:rPr>
          <w:rFonts w:cstheme="minorHAnsi"/>
          <w:color w:val="00003E" w:themeColor="accent1" w:themeShade="80"/>
          <w:szCs w:val="24"/>
        </w:rPr>
      </w:pPr>
      <w:r w:rsidRPr="00807E8A">
        <w:rPr>
          <w:rFonts w:cstheme="minorHAnsi"/>
          <w:color w:val="00003E" w:themeColor="accent1" w:themeShade="80"/>
          <w:szCs w:val="24"/>
        </w:rPr>
        <w:t>What types of performance measures are included in the TPCA and who evaluates the performance?</w:t>
      </w:r>
    </w:p>
    <w:p w14:paraId="642C1FBA" w14:textId="4F6B5297" w:rsidR="000B2A73" w:rsidRPr="00807E8A" w:rsidRDefault="000B2A73" w:rsidP="00035FF9">
      <w:pPr>
        <w:numPr>
          <w:ilvl w:val="0"/>
          <w:numId w:val="10"/>
        </w:numPr>
        <w:rPr>
          <w:rFonts w:cstheme="minorHAnsi"/>
          <w:color w:val="00003E" w:themeColor="accent1" w:themeShade="80"/>
          <w:szCs w:val="24"/>
        </w:rPr>
      </w:pPr>
      <w:r w:rsidRPr="00807E8A">
        <w:rPr>
          <w:rFonts w:cstheme="minorHAnsi"/>
          <w:color w:val="00003E" w:themeColor="accent1" w:themeShade="80"/>
          <w:szCs w:val="24"/>
        </w:rPr>
        <w:t>Is there a description of how the TPCA contract will be monitored by VR staff?</w:t>
      </w:r>
    </w:p>
    <w:p w14:paraId="3BF1C57B" w14:textId="754E92AC" w:rsidR="00035FF9" w:rsidRPr="00807E8A" w:rsidRDefault="00035FF9" w:rsidP="00035FF9">
      <w:pPr>
        <w:numPr>
          <w:ilvl w:val="0"/>
          <w:numId w:val="10"/>
        </w:numPr>
        <w:rPr>
          <w:rFonts w:cstheme="minorHAnsi"/>
          <w:color w:val="00003E" w:themeColor="accent1" w:themeShade="80"/>
          <w:szCs w:val="24"/>
        </w:rPr>
      </w:pPr>
      <w:r w:rsidRPr="00807E8A">
        <w:rPr>
          <w:rFonts w:cstheme="minorHAnsi"/>
          <w:color w:val="00003E" w:themeColor="accent1" w:themeShade="80"/>
          <w:szCs w:val="24"/>
        </w:rPr>
        <w:t xml:space="preserve">Who/what agency </w:t>
      </w:r>
      <w:r w:rsidR="000B2A73" w:rsidRPr="00807E8A">
        <w:rPr>
          <w:rFonts w:cstheme="minorHAnsi"/>
          <w:color w:val="00003E" w:themeColor="accent1" w:themeShade="80"/>
          <w:szCs w:val="24"/>
        </w:rPr>
        <w:t xml:space="preserve">is identified in the TPCA as having the responsibility to </w:t>
      </w:r>
      <w:r w:rsidRPr="00807E8A">
        <w:rPr>
          <w:rFonts w:cstheme="minorHAnsi"/>
          <w:color w:val="00003E" w:themeColor="accent1" w:themeShade="80"/>
          <w:szCs w:val="24"/>
        </w:rPr>
        <w:t>maintain control of the expenditures of the program?</w:t>
      </w:r>
    </w:p>
    <w:p w14:paraId="4531D241" w14:textId="77777777" w:rsidR="00035FF9" w:rsidRPr="00807E8A" w:rsidRDefault="00035FF9" w:rsidP="00035FF9">
      <w:pPr>
        <w:numPr>
          <w:ilvl w:val="0"/>
          <w:numId w:val="10"/>
        </w:numPr>
        <w:rPr>
          <w:rFonts w:cstheme="minorHAnsi"/>
          <w:color w:val="00003E" w:themeColor="accent1" w:themeShade="80"/>
          <w:szCs w:val="24"/>
        </w:rPr>
      </w:pPr>
      <w:r w:rsidRPr="00807E8A">
        <w:rPr>
          <w:rFonts w:cstheme="minorHAnsi"/>
          <w:color w:val="00003E" w:themeColor="accent1" w:themeShade="80"/>
          <w:szCs w:val="24"/>
        </w:rPr>
        <w:t>What internal control activities do VR agency staff conduct to ensure non-Federal and Federal expenditures are spent under the TPCA in accordance with the 34 C.F.R. § 361.28 requirements?</w:t>
      </w:r>
    </w:p>
    <w:p w14:paraId="235BE7E6" w14:textId="13941A3C" w:rsidR="00035FF9" w:rsidRPr="00807E8A" w:rsidRDefault="00035FF9" w:rsidP="00035FF9">
      <w:pPr>
        <w:numPr>
          <w:ilvl w:val="0"/>
          <w:numId w:val="10"/>
        </w:numPr>
        <w:rPr>
          <w:rFonts w:cstheme="minorHAnsi"/>
          <w:color w:val="00003E" w:themeColor="accent1" w:themeShade="80"/>
          <w:szCs w:val="24"/>
        </w:rPr>
      </w:pPr>
      <w:r w:rsidRPr="00807E8A">
        <w:rPr>
          <w:rFonts w:cstheme="minorHAnsi"/>
          <w:color w:val="00003E" w:themeColor="accent1" w:themeShade="80"/>
          <w:szCs w:val="24"/>
        </w:rPr>
        <w:lastRenderedPageBreak/>
        <w:t>How does the VR agency ensure that non-Federal and Federal expenditures reported an</w:t>
      </w:r>
      <w:r w:rsidR="006C37A7" w:rsidRPr="00807E8A">
        <w:rPr>
          <w:rFonts w:cstheme="minorHAnsi"/>
          <w:color w:val="00003E" w:themeColor="accent1" w:themeShade="80"/>
          <w:szCs w:val="24"/>
        </w:rPr>
        <w:t>d</w:t>
      </w:r>
      <w:r w:rsidRPr="00807E8A">
        <w:rPr>
          <w:rFonts w:cstheme="minorHAnsi"/>
          <w:color w:val="00003E" w:themeColor="accent1" w:themeShade="80"/>
          <w:szCs w:val="24"/>
        </w:rPr>
        <w:t xml:space="preserve"> incurred under the TPCA are allocable to the TPCA program?</w:t>
      </w:r>
    </w:p>
    <w:p w14:paraId="17DC25B1" w14:textId="77777777" w:rsidR="00035FF9" w:rsidRPr="00807E8A" w:rsidRDefault="00035FF9" w:rsidP="00035FF9">
      <w:pPr>
        <w:numPr>
          <w:ilvl w:val="0"/>
          <w:numId w:val="10"/>
        </w:numPr>
        <w:rPr>
          <w:rFonts w:cstheme="minorHAnsi"/>
          <w:color w:val="00003E" w:themeColor="accent1" w:themeShade="80"/>
          <w:szCs w:val="24"/>
        </w:rPr>
      </w:pPr>
      <w:r w:rsidRPr="00807E8A">
        <w:rPr>
          <w:rFonts w:cstheme="minorHAnsi"/>
          <w:color w:val="00003E" w:themeColor="accent1" w:themeShade="80"/>
          <w:szCs w:val="24"/>
        </w:rPr>
        <w:t>How does the VR agency ensure that non-Federal share provided as match under the TPCA is consistent with 34 C.F.R. § 361.28(c)?</w:t>
      </w:r>
    </w:p>
    <w:p w14:paraId="739EC78C" w14:textId="77777777" w:rsidR="00035FF9" w:rsidRPr="00807E8A" w:rsidRDefault="00035FF9" w:rsidP="00035FF9">
      <w:pPr>
        <w:numPr>
          <w:ilvl w:val="0"/>
          <w:numId w:val="10"/>
        </w:numPr>
        <w:rPr>
          <w:rFonts w:cstheme="minorHAnsi"/>
          <w:color w:val="00003E" w:themeColor="accent1" w:themeShade="80"/>
          <w:szCs w:val="24"/>
        </w:rPr>
      </w:pPr>
      <w:r w:rsidRPr="00807E8A">
        <w:rPr>
          <w:rFonts w:cstheme="minorHAnsi"/>
          <w:color w:val="00003E" w:themeColor="accent1" w:themeShade="80"/>
          <w:szCs w:val="24"/>
        </w:rPr>
        <w:t>What are the hiring and firing practices for third-party program staff?</w:t>
      </w:r>
    </w:p>
    <w:p w14:paraId="2D5A344E" w14:textId="41BE2789" w:rsidR="00035FF9" w:rsidRPr="00807E8A" w:rsidRDefault="00035FF9" w:rsidP="00035FF9">
      <w:pPr>
        <w:numPr>
          <w:ilvl w:val="0"/>
          <w:numId w:val="10"/>
        </w:numPr>
        <w:rPr>
          <w:rFonts w:cstheme="minorHAnsi"/>
          <w:color w:val="00003E" w:themeColor="accent1" w:themeShade="80"/>
          <w:szCs w:val="24"/>
        </w:rPr>
      </w:pPr>
      <w:r w:rsidRPr="00807E8A">
        <w:rPr>
          <w:rFonts w:cstheme="minorHAnsi"/>
          <w:color w:val="00003E" w:themeColor="accent1" w:themeShade="80"/>
          <w:szCs w:val="24"/>
        </w:rPr>
        <w:t>What agency is responsible for issuing paychecks to the cooperating agency</w:t>
      </w:r>
      <w:r w:rsidR="008D04D7" w:rsidRPr="00807E8A">
        <w:rPr>
          <w:rFonts w:cstheme="minorHAnsi"/>
          <w:color w:val="00003E" w:themeColor="accent1" w:themeShade="80"/>
          <w:szCs w:val="24"/>
        </w:rPr>
        <w:t xml:space="preserve"> staff</w:t>
      </w:r>
      <w:r w:rsidRPr="00807E8A">
        <w:rPr>
          <w:rFonts w:cstheme="minorHAnsi"/>
          <w:color w:val="00003E" w:themeColor="accent1" w:themeShade="80"/>
          <w:szCs w:val="24"/>
        </w:rPr>
        <w:t xml:space="preserve"> providing the TPCA VR services?</w:t>
      </w:r>
    </w:p>
    <w:p w14:paraId="78956448" w14:textId="77777777" w:rsidR="00035FF9" w:rsidRPr="00807E8A" w:rsidRDefault="00035FF9" w:rsidP="00035FF9">
      <w:pPr>
        <w:numPr>
          <w:ilvl w:val="0"/>
          <w:numId w:val="10"/>
        </w:numPr>
        <w:rPr>
          <w:rFonts w:cstheme="minorHAnsi"/>
          <w:color w:val="00003E" w:themeColor="accent1" w:themeShade="80"/>
          <w:szCs w:val="24"/>
        </w:rPr>
      </w:pPr>
      <w:r w:rsidRPr="00807E8A">
        <w:rPr>
          <w:rFonts w:cstheme="minorHAnsi"/>
          <w:color w:val="00003E" w:themeColor="accent1" w:themeShade="80"/>
          <w:szCs w:val="24"/>
        </w:rPr>
        <w:t>Who does the TPCA program staff consider as the lead of the program and supervisor?</w:t>
      </w:r>
    </w:p>
    <w:p w14:paraId="16351718" w14:textId="77777777" w:rsidR="00035FF9" w:rsidRPr="00807E8A" w:rsidRDefault="00035FF9" w:rsidP="00035FF9">
      <w:pPr>
        <w:numPr>
          <w:ilvl w:val="0"/>
          <w:numId w:val="10"/>
        </w:numPr>
        <w:rPr>
          <w:rFonts w:cstheme="minorHAnsi"/>
          <w:color w:val="00003E" w:themeColor="accent1" w:themeShade="80"/>
          <w:szCs w:val="24"/>
        </w:rPr>
      </w:pPr>
      <w:r w:rsidRPr="00807E8A">
        <w:rPr>
          <w:rFonts w:cstheme="minorHAnsi"/>
          <w:color w:val="00003E" w:themeColor="accent1" w:themeShade="80"/>
          <w:szCs w:val="24"/>
        </w:rPr>
        <w:t>Who performs the non-delegable VR program duties outlined in 34 C.F.R. § 361.13?</w:t>
      </w:r>
    </w:p>
    <w:p w14:paraId="0DC3ADCB" w14:textId="33BF2140" w:rsidR="00035FF9" w:rsidRPr="00807E8A" w:rsidRDefault="00035FF9" w:rsidP="007445B9">
      <w:pPr>
        <w:ind w:left="720"/>
        <w:rPr>
          <w:rFonts w:cstheme="minorHAnsi"/>
          <w:color w:val="00003E" w:themeColor="accent1" w:themeShade="80"/>
          <w:szCs w:val="24"/>
        </w:rPr>
      </w:pPr>
      <w:r w:rsidRPr="00807E8A">
        <w:rPr>
          <w:rFonts w:cstheme="minorHAnsi"/>
          <w:color w:val="00003E" w:themeColor="accent1" w:themeShade="80"/>
          <w:szCs w:val="24"/>
        </w:rPr>
        <w:t xml:space="preserve">For example, a TPCA transition program’s third-party cooperative arrangement staff </w:t>
      </w:r>
      <w:r w:rsidR="000B2A73" w:rsidRPr="00807E8A">
        <w:rPr>
          <w:rFonts w:cstheme="minorHAnsi"/>
          <w:color w:val="00003E" w:themeColor="accent1" w:themeShade="80"/>
          <w:szCs w:val="24"/>
        </w:rPr>
        <w:t>are</w:t>
      </w:r>
      <w:r w:rsidRPr="00807E8A">
        <w:rPr>
          <w:rFonts w:cstheme="minorHAnsi"/>
          <w:color w:val="00003E" w:themeColor="accent1" w:themeShade="80"/>
          <w:szCs w:val="24"/>
        </w:rPr>
        <w:t xml:space="preserve"> employees of the schools (the schools do the hiring and firing, issue the paychecks, etc.). However, the VR agency maintains control of expenditures; has authority over the </w:t>
      </w:r>
      <w:r w:rsidR="000B2A73" w:rsidRPr="00807E8A">
        <w:rPr>
          <w:rFonts w:cstheme="minorHAnsi"/>
          <w:color w:val="00003E" w:themeColor="accent1" w:themeShade="80"/>
          <w:szCs w:val="24"/>
        </w:rPr>
        <w:t xml:space="preserve">services provided and </w:t>
      </w:r>
      <w:r w:rsidRPr="00807E8A">
        <w:rPr>
          <w:rFonts w:cstheme="minorHAnsi"/>
          <w:color w:val="00003E" w:themeColor="accent1" w:themeShade="80"/>
          <w:szCs w:val="24"/>
        </w:rPr>
        <w:t xml:space="preserve">TPCA staff; is involved with the interview process; performs continuous reviews of the </w:t>
      </w:r>
      <w:r w:rsidR="000B2A73" w:rsidRPr="00807E8A">
        <w:rPr>
          <w:rFonts w:cstheme="minorHAnsi"/>
          <w:color w:val="00003E" w:themeColor="accent1" w:themeShade="80"/>
          <w:szCs w:val="24"/>
        </w:rPr>
        <w:t xml:space="preserve">provision of services and </w:t>
      </w:r>
      <w:r w:rsidR="008D04D7" w:rsidRPr="00807E8A">
        <w:rPr>
          <w:rFonts w:cstheme="minorHAnsi"/>
          <w:color w:val="00003E" w:themeColor="accent1" w:themeShade="80"/>
          <w:szCs w:val="24"/>
        </w:rPr>
        <w:t>individuals</w:t>
      </w:r>
      <w:r w:rsidR="000B2A73" w:rsidRPr="00807E8A">
        <w:rPr>
          <w:rFonts w:cstheme="minorHAnsi"/>
          <w:color w:val="00003E" w:themeColor="accent1" w:themeShade="80"/>
          <w:szCs w:val="24"/>
        </w:rPr>
        <w:t xml:space="preserve"> served</w:t>
      </w:r>
      <w:r w:rsidRPr="00807E8A">
        <w:rPr>
          <w:rFonts w:cstheme="minorHAnsi"/>
          <w:color w:val="00003E" w:themeColor="accent1" w:themeShade="80"/>
          <w:szCs w:val="24"/>
        </w:rPr>
        <w:t>, performance and internal controls; conducts at least annual reviews of performance expectations; and maintains control of the non-delegable functions of the VR program. This would meet the requirement of “administrative supervision” even though the TPCA staff members are not employees of the DSU but rather are employees of the school.</w:t>
      </w:r>
    </w:p>
    <w:p w14:paraId="5025090F" w14:textId="77777777" w:rsidR="007445B9" w:rsidRPr="00807E8A" w:rsidRDefault="00035FF9" w:rsidP="007445B9">
      <w:pPr>
        <w:ind w:left="720"/>
        <w:rPr>
          <w:rFonts w:cstheme="minorHAnsi"/>
          <w:color w:val="00003E" w:themeColor="accent1" w:themeShade="80"/>
          <w:szCs w:val="24"/>
        </w:rPr>
      </w:pPr>
      <w:r w:rsidRPr="00807E8A">
        <w:rPr>
          <w:rFonts w:cstheme="minorHAnsi"/>
          <w:color w:val="00003E" w:themeColor="accent1" w:themeShade="80"/>
          <w:szCs w:val="24"/>
        </w:rPr>
        <w:t>If there is no administrative supervision exercised by the VR agency, the VR program must restructure the TPCA contract to ensure the requirements listed above are met. RSA is available to provide technical assistance, upon request.</w:t>
      </w:r>
    </w:p>
    <w:p w14:paraId="3417FBD1" w14:textId="172460B0" w:rsidR="00B27C88" w:rsidRPr="00794E95" w:rsidRDefault="00B27C88">
      <w:pPr>
        <w:rPr>
          <w:rFonts w:cstheme="minorHAnsi"/>
          <w:color w:val="121B1A" w:themeColor="background2" w:themeShade="1A"/>
          <w:szCs w:val="24"/>
        </w:rPr>
      </w:pPr>
      <w:r w:rsidRPr="00794E95">
        <w:rPr>
          <w:rFonts w:cstheme="minorHAnsi"/>
          <w:color w:val="121B1A" w:themeColor="background2" w:themeShade="1A"/>
          <w:szCs w:val="24"/>
        </w:rPr>
        <w:br w:type="page"/>
      </w:r>
    </w:p>
    <w:p w14:paraId="26EEEF75" w14:textId="2811E2B8" w:rsidR="00035FF9" w:rsidRPr="00794E95" w:rsidRDefault="00035FF9" w:rsidP="007445B9">
      <w:pPr>
        <w:rPr>
          <w:rStyle w:val="Heading1Char"/>
          <w:rFonts w:asciiTheme="minorHAnsi" w:hAnsiTheme="minorHAnsi" w:cstheme="minorHAnsi"/>
        </w:rPr>
      </w:pPr>
      <w:r w:rsidRPr="00794E95">
        <w:rPr>
          <w:rStyle w:val="Heading1Char"/>
          <w:rFonts w:asciiTheme="minorHAnsi" w:hAnsiTheme="minorHAnsi" w:cstheme="minorHAnsi"/>
        </w:rPr>
        <w:lastRenderedPageBreak/>
        <w:t>VI. VR Services Portion of the Unified or Combined State Plan Requirements Apply</w:t>
      </w:r>
    </w:p>
    <w:p w14:paraId="37652383" w14:textId="77777777" w:rsidR="00035FF9" w:rsidRPr="00807E8A" w:rsidRDefault="00035FF9" w:rsidP="007445B9">
      <w:pPr>
        <w:ind w:left="720"/>
        <w:rPr>
          <w:rFonts w:cstheme="minorHAnsi"/>
          <w:color w:val="00003E" w:themeColor="accent1" w:themeShade="80"/>
          <w:szCs w:val="24"/>
        </w:rPr>
      </w:pPr>
      <w:r w:rsidRPr="00807E8A">
        <w:rPr>
          <w:rFonts w:cstheme="minorHAnsi"/>
          <w:color w:val="00003E" w:themeColor="accent1" w:themeShade="80"/>
          <w:szCs w:val="24"/>
        </w:rPr>
        <w:t>The fifth regulatory requirement for TPCAs is that “all requirements of the VR services portion of the Unified or Combined State Plan, including a State’s order of selection (OOS), will apply to all services provided under the cooperative arrangement” (34 C.F.R. § 361.28(a)(4)). If an agency is on an OOS, the TPCA program must also adhere to the OOS for the individuals that it serves. Please note that the VR agency must continue to provide pre-employment transition services to students with disabilities who were receiving any of the five pre-employment transition services prior to being determined eligible for VR services and placed in a closed OOS priority category or waiting list (34 C.F.R. § 361.36(e)(3)(</w:t>
      </w:r>
      <w:proofErr w:type="spellStart"/>
      <w:r w:rsidRPr="00807E8A">
        <w:rPr>
          <w:rFonts w:cstheme="minorHAnsi"/>
          <w:color w:val="00003E" w:themeColor="accent1" w:themeShade="80"/>
          <w:szCs w:val="24"/>
        </w:rPr>
        <w:t>i</w:t>
      </w:r>
      <w:proofErr w:type="spellEnd"/>
      <w:r w:rsidRPr="00807E8A">
        <w:rPr>
          <w:rFonts w:cstheme="minorHAnsi"/>
          <w:color w:val="00003E" w:themeColor="accent1" w:themeShade="80"/>
          <w:szCs w:val="24"/>
        </w:rPr>
        <w:t>)). So long as the students received one of the required activities, prior to being placed in a closed priority category under an OOS, they can receive any of the five required activities while on a waiting list.</w:t>
      </w:r>
    </w:p>
    <w:p w14:paraId="3E10216C" w14:textId="77777777" w:rsidR="00035FF9" w:rsidRPr="00807E8A" w:rsidRDefault="00035FF9" w:rsidP="007445B9">
      <w:pPr>
        <w:ind w:left="720"/>
        <w:rPr>
          <w:rFonts w:cstheme="minorHAnsi"/>
          <w:color w:val="00003E" w:themeColor="accent1" w:themeShade="80"/>
          <w:szCs w:val="24"/>
        </w:rPr>
      </w:pPr>
      <w:r w:rsidRPr="00807E8A">
        <w:rPr>
          <w:rFonts w:cstheme="minorHAnsi"/>
          <w:color w:val="00003E" w:themeColor="accent1" w:themeShade="80"/>
          <w:szCs w:val="24"/>
        </w:rPr>
        <w:t>The following questions may be helpful:</w:t>
      </w:r>
    </w:p>
    <w:p w14:paraId="0BDEF4FE" w14:textId="40C12592" w:rsidR="00035FF9" w:rsidRPr="00807E8A" w:rsidRDefault="00035FF9" w:rsidP="00035FF9">
      <w:pPr>
        <w:numPr>
          <w:ilvl w:val="0"/>
          <w:numId w:val="11"/>
        </w:numPr>
        <w:tabs>
          <w:tab w:val="left" w:pos="720"/>
        </w:tabs>
        <w:rPr>
          <w:rFonts w:cstheme="minorHAnsi"/>
          <w:color w:val="00003E" w:themeColor="accent1" w:themeShade="80"/>
          <w:szCs w:val="24"/>
        </w:rPr>
      </w:pPr>
      <w:r w:rsidRPr="00807E8A">
        <w:rPr>
          <w:rFonts w:cstheme="minorHAnsi"/>
          <w:color w:val="00003E" w:themeColor="accent1" w:themeShade="80"/>
          <w:szCs w:val="24"/>
        </w:rPr>
        <w:t>If the VR agency is on an OOS, are the individuals served in the TPCA program selected based on that OOS?</w:t>
      </w:r>
      <w:r w:rsidR="003B25A3" w:rsidRPr="00807E8A">
        <w:rPr>
          <w:rFonts w:cstheme="minorHAnsi"/>
          <w:color w:val="00003E" w:themeColor="accent1" w:themeShade="80"/>
          <w:szCs w:val="24"/>
        </w:rPr>
        <w:t xml:space="preserve"> </w:t>
      </w:r>
    </w:p>
    <w:p w14:paraId="4CCB2595" w14:textId="06A52621" w:rsidR="003B25A3" w:rsidRPr="00807E8A" w:rsidRDefault="003B25A3" w:rsidP="00035FF9">
      <w:pPr>
        <w:numPr>
          <w:ilvl w:val="0"/>
          <w:numId w:val="11"/>
        </w:numPr>
        <w:tabs>
          <w:tab w:val="left" w:pos="720"/>
        </w:tabs>
        <w:rPr>
          <w:rFonts w:cstheme="minorHAnsi"/>
          <w:color w:val="00003E" w:themeColor="accent1" w:themeShade="80"/>
          <w:szCs w:val="24"/>
        </w:rPr>
      </w:pPr>
      <w:r w:rsidRPr="00807E8A">
        <w:rPr>
          <w:rFonts w:cstheme="minorHAnsi"/>
          <w:color w:val="00003E" w:themeColor="accent1" w:themeShade="80"/>
          <w:szCs w:val="24"/>
        </w:rPr>
        <w:t>Does the TPCA serve any individuals on an OOS waiting list besides potentially eligible students in receipt of pre-employment transition services who began receiving such services, prior to being placed on a waiting list?</w:t>
      </w:r>
    </w:p>
    <w:p w14:paraId="03697611" w14:textId="77777777" w:rsidR="00035FF9" w:rsidRPr="00807E8A" w:rsidRDefault="00035FF9" w:rsidP="00035FF9">
      <w:pPr>
        <w:numPr>
          <w:ilvl w:val="0"/>
          <w:numId w:val="11"/>
        </w:numPr>
        <w:rPr>
          <w:rFonts w:cstheme="minorHAnsi"/>
          <w:color w:val="00003E" w:themeColor="accent1" w:themeShade="80"/>
          <w:szCs w:val="24"/>
        </w:rPr>
      </w:pPr>
      <w:r w:rsidRPr="00807E8A">
        <w:rPr>
          <w:rFonts w:cstheme="minorHAnsi"/>
          <w:color w:val="00003E" w:themeColor="accent1" w:themeShade="80"/>
          <w:szCs w:val="24"/>
        </w:rPr>
        <w:t>How is informed choice provided to individuals served via the TPCA?</w:t>
      </w:r>
    </w:p>
    <w:p w14:paraId="7FE309B8" w14:textId="77777777" w:rsidR="00035FF9" w:rsidRPr="00807E8A" w:rsidRDefault="00035FF9" w:rsidP="00035FF9">
      <w:pPr>
        <w:numPr>
          <w:ilvl w:val="0"/>
          <w:numId w:val="11"/>
        </w:numPr>
        <w:rPr>
          <w:rFonts w:cstheme="minorHAnsi"/>
          <w:color w:val="00003E" w:themeColor="accent1" w:themeShade="80"/>
          <w:szCs w:val="24"/>
        </w:rPr>
      </w:pPr>
      <w:r w:rsidRPr="00807E8A">
        <w:rPr>
          <w:rFonts w:cstheme="minorHAnsi"/>
          <w:color w:val="00003E" w:themeColor="accent1" w:themeShade="80"/>
          <w:szCs w:val="24"/>
        </w:rPr>
        <w:t>Are there any limits or caps on services provided under the TPCA?</w:t>
      </w:r>
    </w:p>
    <w:p w14:paraId="397A1914" w14:textId="77777777" w:rsidR="00035FF9" w:rsidRPr="00807E8A" w:rsidRDefault="00035FF9" w:rsidP="00035FF9">
      <w:pPr>
        <w:numPr>
          <w:ilvl w:val="0"/>
          <w:numId w:val="11"/>
        </w:numPr>
        <w:rPr>
          <w:rFonts w:cstheme="minorHAnsi"/>
          <w:color w:val="00003E" w:themeColor="accent1" w:themeShade="80"/>
          <w:szCs w:val="24"/>
        </w:rPr>
      </w:pPr>
      <w:r w:rsidRPr="00807E8A">
        <w:rPr>
          <w:rFonts w:cstheme="minorHAnsi"/>
          <w:color w:val="00003E" w:themeColor="accent1" w:themeShade="80"/>
          <w:szCs w:val="24"/>
        </w:rPr>
        <w:t>Are all the requirements within the agency’s VR services portion of the Unified or Combined State Plan being adhered to by the cooperating agency?</w:t>
      </w:r>
    </w:p>
    <w:p w14:paraId="3F81F0E0" w14:textId="3648BB6A" w:rsidR="00B27C88" w:rsidRPr="00807E8A" w:rsidRDefault="00035FF9" w:rsidP="007445B9">
      <w:pPr>
        <w:ind w:left="720"/>
        <w:rPr>
          <w:rFonts w:cstheme="minorHAnsi"/>
          <w:color w:val="00003E" w:themeColor="accent1" w:themeShade="80"/>
          <w:szCs w:val="24"/>
        </w:rPr>
      </w:pPr>
      <w:r w:rsidRPr="00807E8A">
        <w:rPr>
          <w:rFonts w:cstheme="minorHAnsi"/>
          <w:color w:val="00003E" w:themeColor="accent1" w:themeShade="80"/>
          <w:szCs w:val="24"/>
        </w:rPr>
        <w:t xml:space="preserve">NOTE: </w:t>
      </w:r>
      <w:r w:rsidR="003B25A3" w:rsidRPr="00807E8A">
        <w:rPr>
          <w:rFonts w:cstheme="minorHAnsi"/>
          <w:color w:val="00003E" w:themeColor="accent1" w:themeShade="80"/>
          <w:szCs w:val="24"/>
        </w:rPr>
        <w:t xml:space="preserve">Individuals served through TPCAs do not circumvent OOS requirements. Only potentially eligible students may continue to receive pre-employment transition services while on a waiting </w:t>
      </w:r>
      <w:proofErr w:type="gramStart"/>
      <w:r w:rsidR="003B25A3" w:rsidRPr="00807E8A">
        <w:rPr>
          <w:rFonts w:cstheme="minorHAnsi"/>
          <w:color w:val="00003E" w:themeColor="accent1" w:themeShade="80"/>
          <w:szCs w:val="24"/>
        </w:rPr>
        <w:t>list, if</w:t>
      </w:r>
      <w:proofErr w:type="gramEnd"/>
      <w:r w:rsidR="003B25A3" w:rsidRPr="00807E8A">
        <w:rPr>
          <w:rFonts w:cstheme="minorHAnsi"/>
          <w:color w:val="00003E" w:themeColor="accent1" w:themeShade="80"/>
          <w:szCs w:val="24"/>
        </w:rPr>
        <w:t xml:space="preserve"> they began receiving such services prior to being placed on a waiting list. All State Plan requirements apply. </w:t>
      </w:r>
      <w:r w:rsidRPr="00807E8A">
        <w:rPr>
          <w:rFonts w:cstheme="minorHAnsi"/>
          <w:color w:val="00003E" w:themeColor="accent1" w:themeShade="80"/>
          <w:szCs w:val="24"/>
        </w:rPr>
        <w:t xml:space="preserve">If </w:t>
      </w:r>
      <w:r w:rsidR="003B25A3" w:rsidRPr="00807E8A">
        <w:rPr>
          <w:rFonts w:cstheme="minorHAnsi"/>
          <w:color w:val="00003E" w:themeColor="accent1" w:themeShade="80"/>
          <w:szCs w:val="24"/>
        </w:rPr>
        <w:t xml:space="preserve">any State Plan </w:t>
      </w:r>
      <w:r w:rsidRPr="00807E8A">
        <w:rPr>
          <w:rFonts w:cstheme="minorHAnsi"/>
          <w:color w:val="00003E" w:themeColor="accent1" w:themeShade="80"/>
          <w:szCs w:val="24"/>
        </w:rPr>
        <w:t>requirement</w:t>
      </w:r>
      <w:r w:rsidR="003B25A3" w:rsidRPr="00807E8A">
        <w:rPr>
          <w:rFonts w:cstheme="minorHAnsi"/>
          <w:color w:val="00003E" w:themeColor="accent1" w:themeShade="80"/>
          <w:szCs w:val="24"/>
        </w:rPr>
        <w:t>s are</w:t>
      </w:r>
      <w:r w:rsidRPr="00807E8A">
        <w:rPr>
          <w:rFonts w:cstheme="minorHAnsi"/>
          <w:color w:val="00003E" w:themeColor="accent1" w:themeShade="80"/>
          <w:szCs w:val="24"/>
        </w:rPr>
        <w:t xml:space="preserve"> not met, the</w:t>
      </w:r>
      <w:r w:rsidR="003B25A3" w:rsidRPr="00807E8A">
        <w:rPr>
          <w:rFonts w:cstheme="minorHAnsi"/>
          <w:color w:val="00003E" w:themeColor="accent1" w:themeShade="80"/>
          <w:szCs w:val="24"/>
        </w:rPr>
        <w:t>n</w:t>
      </w:r>
      <w:r w:rsidRPr="00807E8A">
        <w:rPr>
          <w:rFonts w:cstheme="minorHAnsi"/>
          <w:color w:val="00003E" w:themeColor="accent1" w:themeShade="80"/>
          <w:szCs w:val="24"/>
        </w:rPr>
        <w:t xml:space="preserve"> RSA team will provide technical assistance to restructure the arrangement language to clearly specify that all requirements under the VR services portion of the Unified or Combined State Plan are to be met and eliminate provisions that are not consistent with the VR services portion of the Unified or Combined State Plan.</w:t>
      </w:r>
    </w:p>
    <w:p w14:paraId="6B10C89C" w14:textId="77777777" w:rsidR="00B27C88" w:rsidRPr="00794E95" w:rsidRDefault="00B27C88">
      <w:pPr>
        <w:rPr>
          <w:rFonts w:cstheme="minorHAnsi"/>
          <w:color w:val="121B1A" w:themeColor="background2" w:themeShade="1A"/>
          <w:szCs w:val="24"/>
        </w:rPr>
      </w:pPr>
      <w:r w:rsidRPr="00794E95">
        <w:rPr>
          <w:rFonts w:cstheme="minorHAnsi"/>
          <w:color w:val="121B1A" w:themeColor="background2" w:themeShade="1A"/>
          <w:szCs w:val="24"/>
        </w:rPr>
        <w:br w:type="page"/>
      </w:r>
    </w:p>
    <w:p w14:paraId="1C20F1EE" w14:textId="518792EE" w:rsidR="00035FF9" w:rsidRPr="00794E95" w:rsidRDefault="00035FF9" w:rsidP="00035FF9">
      <w:pPr>
        <w:rPr>
          <w:rStyle w:val="Heading1Char"/>
          <w:rFonts w:asciiTheme="minorHAnsi" w:hAnsiTheme="minorHAnsi" w:cstheme="minorHAnsi"/>
        </w:rPr>
      </w:pPr>
      <w:r w:rsidRPr="00794E95">
        <w:rPr>
          <w:rStyle w:val="Heading1Char"/>
          <w:rFonts w:asciiTheme="minorHAnsi" w:hAnsiTheme="minorHAnsi" w:cstheme="minorHAnsi"/>
        </w:rPr>
        <w:lastRenderedPageBreak/>
        <w:t>VII. Statewideness</w:t>
      </w:r>
    </w:p>
    <w:p w14:paraId="36EDECE3" w14:textId="77777777" w:rsidR="00035FF9" w:rsidRPr="00807E8A" w:rsidRDefault="00035FF9" w:rsidP="00E3560D">
      <w:pPr>
        <w:ind w:left="720"/>
        <w:rPr>
          <w:rFonts w:cstheme="minorHAnsi"/>
          <w:color w:val="00003E" w:themeColor="accent1" w:themeShade="80"/>
          <w:szCs w:val="24"/>
        </w:rPr>
      </w:pPr>
      <w:r w:rsidRPr="00807E8A">
        <w:rPr>
          <w:rFonts w:cstheme="minorHAnsi"/>
          <w:color w:val="00003E" w:themeColor="accent1" w:themeShade="80"/>
          <w:szCs w:val="24"/>
        </w:rPr>
        <w:t>The final regulatory requirement for TPCAs is that “if a third-party cooperative agreement does not comply with the statewideness requirement in 34 C.F.R. § 361.25, the State unit must obtain a waiver of statewideness, in accordance with 34 C.F.R. § 361.26” (34 C.F.R. § 361.28(b)). Pursuant to 34 C.F.R. § 361.25, “The vocational rehabilitation services portion of the Unified or Combined State Plan must assure that services provided under the vocational rehabilitation services portion of the Unified or Combined State Plan will be available in all political subdivisions of the State, unless a waiver of statewideness is requested and approved in accordance with 34 C.F.R. § 361.26.”</w:t>
      </w:r>
    </w:p>
    <w:p w14:paraId="60A5877F" w14:textId="77777777" w:rsidR="00035FF9" w:rsidRPr="00807E8A" w:rsidRDefault="00035FF9" w:rsidP="00E3560D">
      <w:pPr>
        <w:ind w:left="720"/>
        <w:rPr>
          <w:rFonts w:cstheme="minorHAnsi"/>
          <w:color w:val="00003E" w:themeColor="accent1" w:themeShade="80"/>
          <w:szCs w:val="24"/>
        </w:rPr>
      </w:pPr>
      <w:r w:rsidRPr="00807E8A">
        <w:rPr>
          <w:rFonts w:cstheme="minorHAnsi"/>
          <w:color w:val="00003E" w:themeColor="accent1" w:themeShade="80"/>
          <w:szCs w:val="24"/>
        </w:rPr>
        <w:t>The main questions to ask for this requirement are as follows.</w:t>
      </w:r>
    </w:p>
    <w:p w14:paraId="494BF478" w14:textId="4B148535" w:rsidR="00035FF9" w:rsidRPr="00807E8A" w:rsidRDefault="00035FF9" w:rsidP="00807E8A">
      <w:pPr>
        <w:numPr>
          <w:ilvl w:val="0"/>
          <w:numId w:val="12"/>
        </w:numPr>
        <w:tabs>
          <w:tab w:val="left" w:pos="720"/>
        </w:tabs>
        <w:spacing w:after="0"/>
        <w:rPr>
          <w:rFonts w:cstheme="minorHAnsi"/>
          <w:color w:val="00003E" w:themeColor="accent1" w:themeShade="80"/>
          <w:szCs w:val="24"/>
        </w:rPr>
      </w:pPr>
      <w:r w:rsidRPr="00807E8A">
        <w:rPr>
          <w:rFonts w:cstheme="minorHAnsi"/>
          <w:color w:val="00003E" w:themeColor="accent1" w:themeShade="80"/>
          <w:szCs w:val="24"/>
        </w:rPr>
        <w:t>Are the services provided through the TPCA available to all individuals across the State</w:t>
      </w:r>
      <w:r w:rsidR="003B25A3" w:rsidRPr="00807E8A">
        <w:rPr>
          <w:rFonts w:cstheme="minorHAnsi"/>
          <w:color w:val="00003E" w:themeColor="accent1" w:themeShade="80"/>
          <w:szCs w:val="24"/>
        </w:rPr>
        <w:t xml:space="preserve"> in all political subdivisions</w:t>
      </w:r>
      <w:r w:rsidRPr="00807E8A">
        <w:rPr>
          <w:rFonts w:cstheme="minorHAnsi"/>
          <w:color w:val="00003E" w:themeColor="accent1" w:themeShade="80"/>
          <w:szCs w:val="24"/>
        </w:rPr>
        <w:t>? If so, statewideness is met.</w:t>
      </w:r>
    </w:p>
    <w:p w14:paraId="4E2A43CD" w14:textId="77777777" w:rsidR="009F28B3" w:rsidRPr="00807E8A" w:rsidRDefault="00035FF9" w:rsidP="00807E8A">
      <w:pPr>
        <w:numPr>
          <w:ilvl w:val="0"/>
          <w:numId w:val="12"/>
        </w:numPr>
        <w:tabs>
          <w:tab w:val="left" w:pos="720"/>
        </w:tabs>
        <w:spacing w:after="0"/>
        <w:rPr>
          <w:rFonts w:cstheme="minorHAnsi"/>
          <w:color w:val="00003E" w:themeColor="accent1" w:themeShade="80"/>
          <w:szCs w:val="24"/>
        </w:rPr>
      </w:pPr>
      <w:r w:rsidRPr="00807E8A">
        <w:rPr>
          <w:rFonts w:cstheme="minorHAnsi"/>
          <w:color w:val="00003E" w:themeColor="accent1" w:themeShade="80"/>
          <w:szCs w:val="24"/>
        </w:rPr>
        <w:t>If not, has the VR agency obtained a waiver of statewideness through the submission of its most recent VR services portion of the Unified or Combined State Plan?</w:t>
      </w:r>
    </w:p>
    <w:p w14:paraId="346D8C3B" w14:textId="1D973DCB" w:rsidR="00035FF9" w:rsidRPr="00807E8A" w:rsidRDefault="00035FF9" w:rsidP="00807E8A">
      <w:pPr>
        <w:numPr>
          <w:ilvl w:val="0"/>
          <w:numId w:val="12"/>
        </w:numPr>
        <w:tabs>
          <w:tab w:val="left" w:pos="720"/>
        </w:tabs>
        <w:spacing w:after="0"/>
        <w:rPr>
          <w:rFonts w:cstheme="minorHAnsi"/>
          <w:color w:val="00003E" w:themeColor="accent1" w:themeShade="80"/>
          <w:szCs w:val="24"/>
        </w:rPr>
      </w:pPr>
      <w:r w:rsidRPr="00807E8A">
        <w:rPr>
          <w:rFonts w:cstheme="minorHAnsi"/>
          <w:color w:val="00003E" w:themeColor="accent1" w:themeShade="80"/>
          <w:szCs w:val="24"/>
        </w:rPr>
        <w:t>Are the services provided through the TPCA program offered throughout the State, yet some parts of the State are not participating in the program? If so, this does not meet the statewideness requirement. For example, if a TPCA transition program is offered in all parts of the State but is not available statewide because not all schools in the State participate in the program, the statewideness requirement is not met and the VR agency must request a waiver of statewideness.</w:t>
      </w:r>
    </w:p>
    <w:p w14:paraId="69A980C2" w14:textId="576E9C02" w:rsidR="00035FF9" w:rsidRPr="00807E8A" w:rsidRDefault="00035FF9" w:rsidP="00807E8A">
      <w:pPr>
        <w:spacing w:before="240"/>
        <w:ind w:left="720"/>
        <w:rPr>
          <w:rFonts w:cstheme="minorHAnsi"/>
          <w:color w:val="00003E" w:themeColor="accent1" w:themeShade="80"/>
          <w:szCs w:val="24"/>
        </w:rPr>
      </w:pPr>
      <w:r w:rsidRPr="00807E8A">
        <w:rPr>
          <w:rFonts w:cstheme="minorHAnsi"/>
          <w:color w:val="00003E" w:themeColor="accent1" w:themeShade="80"/>
          <w:szCs w:val="24"/>
        </w:rPr>
        <w:t>TPCAs with school districts to provide transition services to eligible students receiving special education services from the school system or working with a county developmental disability or mental health office to establish an employment program for individuals who are eligible for both the county programs and for VR almost always require a waiver of statewideness.</w:t>
      </w:r>
    </w:p>
    <w:p w14:paraId="26BD94B4" w14:textId="77777777" w:rsidR="00035FF9" w:rsidRPr="00807E8A" w:rsidRDefault="00035FF9" w:rsidP="009F28B3">
      <w:pPr>
        <w:ind w:left="720"/>
        <w:rPr>
          <w:rFonts w:cstheme="minorHAnsi"/>
          <w:color w:val="00003E" w:themeColor="accent1" w:themeShade="80"/>
          <w:szCs w:val="24"/>
        </w:rPr>
      </w:pPr>
      <w:r w:rsidRPr="00807E8A">
        <w:rPr>
          <w:rFonts w:cstheme="minorHAnsi"/>
          <w:color w:val="00003E" w:themeColor="accent1" w:themeShade="80"/>
          <w:szCs w:val="24"/>
        </w:rPr>
        <w:t>A VR agency may provide services under a waiver of statewideness when the—</w:t>
      </w:r>
    </w:p>
    <w:p w14:paraId="51FE8B64" w14:textId="3628B1EA" w:rsidR="00035FF9" w:rsidRPr="00807E8A" w:rsidRDefault="00035FF9" w:rsidP="00807E8A">
      <w:pPr>
        <w:numPr>
          <w:ilvl w:val="0"/>
          <w:numId w:val="13"/>
        </w:numPr>
        <w:spacing w:after="0"/>
        <w:rPr>
          <w:rFonts w:cstheme="minorHAnsi"/>
          <w:color w:val="00003E" w:themeColor="accent1" w:themeShade="80"/>
          <w:szCs w:val="24"/>
        </w:rPr>
      </w:pPr>
      <w:r w:rsidRPr="00807E8A">
        <w:rPr>
          <w:rFonts w:cstheme="minorHAnsi"/>
          <w:color w:val="00003E" w:themeColor="accent1" w:themeShade="80"/>
          <w:szCs w:val="24"/>
        </w:rPr>
        <w:t>Non-Federal share of the cost of the</w:t>
      </w:r>
      <w:r w:rsidR="003B25A3" w:rsidRPr="00807E8A">
        <w:rPr>
          <w:rFonts w:cstheme="minorHAnsi"/>
          <w:color w:val="00003E" w:themeColor="accent1" w:themeShade="80"/>
          <w:szCs w:val="24"/>
        </w:rPr>
        <w:t xml:space="preserve"> VR</w:t>
      </w:r>
      <w:r w:rsidRPr="00807E8A">
        <w:rPr>
          <w:rFonts w:cstheme="minorHAnsi"/>
          <w:color w:val="00003E" w:themeColor="accent1" w:themeShade="80"/>
          <w:szCs w:val="24"/>
        </w:rPr>
        <w:t xml:space="preserve"> services to be provided under the waiver is met from funds provided by a public agency;</w:t>
      </w:r>
    </w:p>
    <w:p w14:paraId="2D36588A" w14:textId="77777777" w:rsidR="00035FF9" w:rsidRPr="00807E8A" w:rsidRDefault="00035FF9" w:rsidP="00807E8A">
      <w:pPr>
        <w:numPr>
          <w:ilvl w:val="0"/>
          <w:numId w:val="13"/>
        </w:numPr>
        <w:spacing w:after="0"/>
        <w:rPr>
          <w:rFonts w:cstheme="minorHAnsi"/>
          <w:color w:val="00003E" w:themeColor="accent1" w:themeShade="80"/>
          <w:szCs w:val="24"/>
        </w:rPr>
      </w:pPr>
      <w:r w:rsidRPr="00807E8A">
        <w:rPr>
          <w:rFonts w:cstheme="minorHAnsi"/>
          <w:color w:val="00003E" w:themeColor="accent1" w:themeShade="80"/>
          <w:szCs w:val="24"/>
        </w:rPr>
        <w:t>Services are likely to promote the vocational rehabilitation of substantially larger numbers of individuals with disabilities, or of individuals with disabilities with particular types of impairments; and</w:t>
      </w:r>
    </w:p>
    <w:p w14:paraId="18EF7E7A" w14:textId="77777777" w:rsidR="00035FF9" w:rsidRPr="00807E8A" w:rsidRDefault="00035FF9" w:rsidP="00807E8A">
      <w:pPr>
        <w:numPr>
          <w:ilvl w:val="0"/>
          <w:numId w:val="13"/>
        </w:numPr>
        <w:spacing w:after="0"/>
        <w:rPr>
          <w:rFonts w:cstheme="minorHAnsi"/>
          <w:color w:val="00003E" w:themeColor="accent1" w:themeShade="80"/>
          <w:szCs w:val="24"/>
        </w:rPr>
      </w:pPr>
      <w:r w:rsidRPr="00807E8A">
        <w:rPr>
          <w:rFonts w:cstheme="minorHAnsi"/>
          <w:color w:val="00003E" w:themeColor="accent1" w:themeShade="80"/>
          <w:szCs w:val="24"/>
        </w:rPr>
        <w:lastRenderedPageBreak/>
        <w:t>The VR agency includes in the VR services portion of the Unified or Combined State Plan, and the Secretary of Education approves, a waiver of statewideness (34 C.F.R. § 361.26(a)).</w:t>
      </w:r>
    </w:p>
    <w:p w14:paraId="36D3C7B7" w14:textId="77777777" w:rsidR="00035FF9" w:rsidRPr="00807E8A" w:rsidRDefault="00035FF9" w:rsidP="00807E8A">
      <w:pPr>
        <w:spacing w:before="240"/>
        <w:ind w:left="720"/>
        <w:rPr>
          <w:rFonts w:cstheme="minorHAnsi"/>
          <w:color w:val="00003E" w:themeColor="accent1" w:themeShade="80"/>
          <w:szCs w:val="24"/>
        </w:rPr>
      </w:pPr>
      <w:r w:rsidRPr="00807E8A">
        <w:rPr>
          <w:rFonts w:cstheme="minorHAnsi"/>
          <w:color w:val="00003E" w:themeColor="accent1" w:themeShade="80"/>
          <w:szCs w:val="24"/>
        </w:rPr>
        <w:t xml:space="preserve">The requirements for requesting a waiver of statewideness are found in 34 C.F.R. § 361.26(b). VR agencies must request approval from RSA, by submitting an attachment to the State Plan, prior to waiving responsibility for providing services statewide. The waiver of statewideness request must— </w:t>
      </w:r>
    </w:p>
    <w:p w14:paraId="75A19690" w14:textId="353D9EA5" w:rsidR="00035FF9" w:rsidRPr="00807E8A" w:rsidRDefault="00035FF9" w:rsidP="00807E8A">
      <w:pPr>
        <w:numPr>
          <w:ilvl w:val="0"/>
          <w:numId w:val="14"/>
        </w:numPr>
        <w:spacing w:after="0"/>
        <w:rPr>
          <w:rFonts w:cstheme="minorHAnsi"/>
          <w:color w:val="00003E" w:themeColor="accent1" w:themeShade="80"/>
          <w:szCs w:val="24"/>
        </w:rPr>
      </w:pPr>
      <w:r w:rsidRPr="00807E8A">
        <w:rPr>
          <w:rFonts w:cstheme="minorHAnsi"/>
          <w:color w:val="00003E" w:themeColor="accent1" w:themeShade="80"/>
          <w:szCs w:val="24"/>
        </w:rPr>
        <w:t xml:space="preserve">Identify the types of </w:t>
      </w:r>
      <w:r w:rsidR="003B25A3" w:rsidRPr="00807E8A">
        <w:rPr>
          <w:rFonts w:cstheme="minorHAnsi"/>
          <w:color w:val="00003E" w:themeColor="accent1" w:themeShade="80"/>
          <w:szCs w:val="24"/>
        </w:rPr>
        <w:t xml:space="preserve">VR </w:t>
      </w:r>
      <w:r w:rsidRPr="00807E8A">
        <w:rPr>
          <w:rFonts w:cstheme="minorHAnsi"/>
          <w:color w:val="00003E" w:themeColor="accent1" w:themeShade="80"/>
          <w:szCs w:val="24"/>
        </w:rPr>
        <w:t>services to be provided;</w:t>
      </w:r>
    </w:p>
    <w:p w14:paraId="5319FF68" w14:textId="77777777" w:rsidR="00035FF9" w:rsidRPr="00807E8A" w:rsidRDefault="00035FF9" w:rsidP="00807E8A">
      <w:pPr>
        <w:numPr>
          <w:ilvl w:val="0"/>
          <w:numId w:val="14"/>
        </w:numPr>
        <w:spacing w:after="0"/>
        <w:rPr>
          <w:rFonts w:cstheme="minorHAnsi"/>
          <w:color w:val="00003E" w:themeColor="accent1" w:themeShade="80"/>
          <w:szCs w:val="24"/>
        </w:rPr>
      </w:pPr>
      <w:r w:rsidRPr="00807E8A">
        <w:rPr>
          <w:rFonts w:cstheme="minorHAnsi"/>
          <w:color w:val="00003E" w:themeColor="accent1" w:themeShade="80"/>
          <w:szCs w:val="24"/>
        </w:rPr>
        <w:t>Include a written assurance that the cooperating agency will make available the non-Federal share of funds required for the arrangement;</w:t>
      </w:r>
    </w:p>
    <w:p w14:paraId="2768249B" w14:textId="20043A4D" w:rsidR="00035FF9" w:rsidRPr="00807E8A" w:rsidRDefault="00035FF9" w:rsidP="00807E8A">
      <w:pPr>
        <w:numPr>
          <w:ilvl w:val="0"/>
          <w:numId w:val="14"/>
        </w:numPr>
        <w:spacing w:after="0"/>
        <w:rPr>
          <w:rFonts w:cstheme="minorHAnsi"/>
          <w:color w:val="00003E" w:themeColor="accent1" w:themeShade="80"/>
          <w:szCs w:val="24"/>
        </w:rPr>
      </w:pPr>
      <w:r w:rsidRPr="00807E8A">
        <w:rPr>
          <w:rFonts w:cstheme="minorHAnsi"/>
          <w:color w:val="00003E" w:themeColor="accent1" w:themeShade="80"/>
          <w:szCs w:val="24"/>
        </w:rPr>
        <w:t xml:space="preserve">Include a written assurance that the VR agency approval will be obtained for each </w:t>
      </w:r>
      <w:r w:rsidR="003B25A3" w:rsidRPr="00807E8A">
        <w:rPr>
          <w:rFonts w:cstheme="minorHAnsi"/>
          <w:color w:val="00003E" w:themeColor="accent1" w:themeShade="80"/>
          <w:szCs w:val="24"/>
        </w:rPr>
        <w:t xml:space="preserve">VR </w:t>
      </w:r>
      <w:r w:rsidRPr="00807E8A">
        <w:rPr>
          <w:rFonts w:cstheme="minorHAnsi"/>
          <w:color w:val="00003E" w:themeColor="accent1" w:themeShade="80"/>
          <w:szCs w:val="24"/>
        </w:rPr>
        <w:t>service before that service is put into effect; and</w:t>
      </w:r>
    </w:p>
    <w:p w14:paraId="4126BEEF" w14:textId="10C2871F" w:rsidR="00351B48" w:rsidRPr="00807E8A" w:rsidRDefault="00035FF9" w:rsidP="00807E8A">
      <w:pPr>
        <w:pStyle w:val="ListParagraph"/>
        <w:numPr>
          <w:ilvl w:val="0"/>
          <w:numId w:val="14"/>
        </w:numPr>
        <w:spacing w:after="0"/>
        <w:rPr>
          <w:rFonts w:cstheme="minorHAnsi"/>
          <w:color w:val="00003E" w:themeColor="accent1" w:themeShade="80"/>
          <w:szCs w:val="24"/>
        </w:rPr>
      </w:pPr>
      <w:r w:rsidRPr="00807E8A">
        <w:rPr>
          <w:rFonts w:cstheme="minorHAnsi"/>
          <w:color w:val="00003E" w:themeColor="accent1" w:themeShade="80"/>
          <w:szCs w:val="24"/>
        </w:rPr>
        <w:t xml:space="preserve">Include a written assurance that all other requirements under the VR services portion of the Unified or Combined State Plan will apply to all </w:t>
      </w:r>
      <w:r w:rsidR="003B25A3" w:rsidRPr="00807E8A">
        <w:rPr>
          <w:rFonts w:cstheme="minorHAnsi"/>
          <w:color w:val="00003E" w:themeColor="accent1" w:themeShade="80"/>
          <w:szCs w:val="24"/>
        </w:rPr>
        <w:t xml:space="preserve">VR </w:t>
      </w:r>
      <w:r w:rsidRPr="00807E8A">
        <w:rPr>
          <w:rFonts w:cstheme="minorHAnsi"/>
          <w:color w:val="00003E" w:themeColor="accent1" w:themeShade="80"/>
          <w:szCs w:val="24"/>
        </w:rPr>
        <w:t>services approved under the waiver.</w:t>
      </w:r>
    </w:p>
    <w:p w14:paraId="6108F574" w14:textId="77777777" w:rsidR="00035FF9" w:rsidRPr="00807E8A" w:rsidRDefault="00035FF9">
      <w:pPr>
        <w:rPr>
          <w:rFonts w:cstheme="minorHAnsi"/>
          <w:color w:val="00003E" w:themeColor="accent1" w:themeShade="80"/>
          <w:szCs w:val="24"/>
        </w:rPr>
      </w:pPr>
    </w:p>
    <w:p w14:paraId="18C10357" w14:textId="27F2F566" w:rsidR="009F28B3" w:rsidRPr="00794E95" w:rsidRDefault="009F28B3">
      <w:pPr>
        <w:rPr>
          <w:rFonts w:eastAsia="Times New Roman" w:cstheme="minorHAnsi"/>
          <w:spacing w:val="-10"/>
          <w:kern w:val="28"/>
          <w:sz w:val="56"/>
          <w:szCs w:val="56"/>
        </w:rPr>
      </w:pPr>
    </w:p>
    <w:sectPr w:rsidR="009F28B3" w:rsidRPr="00794E95" w:rsidSect="004401D9">
      <w:headerReference w:type="default" r:id="rId11"/>
      <w:footerReference w:type="default" r:id="rId12"/>
      <w:pgSz w:w="15840" w:h="12240" w:orient="landscape"/>
      <w:pgMar w:top="1440" w:right="1080" w:bottom="1440" w:left="108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3006" w14:textId="77777777" w:rsidR="00FD6653" w:rsidRDefault="00FD6653" w:rsidP="005332B7">
      <w:pPr>
        <w:spacing w:after="0" w:line="240" w:lineRule="auto"/>
      </w:pPr>
      <w:r>
        <w:separator/>
      </w:r>
    </w:p>
  </w:endnote>
  <w:endnote w:type="continuationSeparator" w:id="0">
    <w:p w14:paraId="18AD60CA" w14:textId="77777777" w:rsidR="00FD6653" w:rsidRDefault="00FD6653" w:rsidP="0053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827644"/>
      <w:docPartObj>
        <w:docPartGallery w:val="Page Numbers (Bottom of Page)"/>
        <w:docPartUnique/>
      </w:docPartObj>
    </w:sdtPr>
    <w:sdtEndPr>
      <w:rPr>
        <w:noProof/>
      </w:rPr>
    </w:sdtEndPr>
    <w:sdtContent>
      <w:p w14:paraId="09ABB50F" w14:textId="2819775D" w:rsidR="00A229EC" w:rsidRPr="00734CB7" w:rsidRDefault="0087347F" w:rsidP="00A229EC">
        <w:pPr>
          <w:pStyle w:val="Footer"/>
          <w:jc w:val="center"/>
          <w:rPr>
            <w:rFonts w:cstheme="minorHAnsi"/>
            <w:sz w:val="22"/>
          </w:rPr>
        </w:pPr>
        <w:r>
          <w:rPr>
            <w:rFonts w:cstheme="minorHAnsi"/>
            <w:noProof/>
            <w:sz w:val="22"/>
          </w:rPr>
          <mc:AlternateContent>
            <mc:Choice Requires="wps">
              <w:drawing>
                <wp:anchor distT="0" distB="0" distL="114300" distR="114300" simplePos="0" relativeHeight="251659264" behindDoc="1" locked="0" layoutInCell="1" allowOverlap="1" wp14:anchorId="0913E4DE" wp14:editId="05FD7C35">
                  <wp:simplePos x="0" y="0"/>
                  <wp:positionH relativeFrom="margin">
                    <wp:posOffset>132907</wp:posOffset>
                  </wp:positionH>
                  <wp:positionV relativeFrom="paragraph">
                    <wp:posOffset>-35428</wp:posOffset>
                  </wp:positionV>
                  <wp:extent cx="8431619" cy="361005"/>
                  <wp:effectExtent l="0" t="0" r="7620" b="127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31619" cy="3610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74486" id="Rectangle 1" o:spid="_x0000_s1026" alt="&quot;&quot;" style="position:absolute;margin-left:10.45pt;margin-top:-2.8pt;width:663.9pt;height:28.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" fillcolor="#dae7e5 [3214]" stroked="f" strokeweight="1pt">
                  <w10:wrap anchorx="margin"/>
                </v:rect>
              </w:pict>
            </mc:Fallback>
          </mc:AlternateContent>
        </w:r>
        <w:r w:rsidR="004401D9" w:rsidRPr="00734CB7">
          <w:rPr>
            <w:rFonts w:cstheme="minorHAnsi"/>
            <w:sz w:val="22"/>
          </w:rPr>
          <w:t>This content was developed by the VRTAC-QM, a project funded under #H264J200002 of the U.S. Department of Education (Department). The information contained herein does not necessarily reflect the position or policy of the Department and no official endorsement should be inferred.</w:t>
        </w:r>
      </w:p>
      <w:p w14:paraId="3C348AAC" w14:textId="5A8C755A" w:rsidR="005332B7" w:rsidRDefault="005332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86E935" w14:textId="77777777" w:rsidR="005332B7" w:rsidRDefault="00533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6A6C" w14:textId="77777777" w:rsidR="00FD6653" w:rsidRDefault="00FD6653" w:rsidP="005332B7">
      <w:pPr>
        <w:spacing w:after="0" w:line="240" w:lineRule="auto"/>
      </w:pPr>
      <w:r>
        <w:separator/>
      </w:r>
    </w:p>
  </w:footnote>
  <w:footnote w:type="continuationSeparator" w:id="0">
    <w:p w14:paraId="08E111C8" w14:textId="77777777" w:rsidR="00FD6653" w:rsidRDefault="00FD6653" w:rsidP="00533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A971" w14:textId="37C29B05" w:rsidR="005838AE" w:rsidRDefault="00B72FEE" w:rsidP="00B72FEE">
    <w:pPr>
      <w:pStyle w:val="Header"/>
      <w:jc w:val="right"/>
    </w:pPr>
    <w:r>
      <w:rPr>
        <w:noProof/>
      </w:rPr>
      <w:drawing>
        <wp:inline distT="19050" distB="19050" distL="19050" distR="19050" wp14:anchorId="3FC1E236" wp14:editId="3B1C92CF">
          <wp:extent cx="2127619" cy="978195"/>
          <wp:effectExtent l="0" t="0" r="6350" b="0"/>
          <wp:docPr id="2" name="image1.png" descr="VRTAC-QM logo"/>
          <wp:cNvGraphicFramePr/>
          <a:graphic xmlns:a="http://schemas.openxmlformats.org/drawingml/2006/main">
            <a:graphicData uri="http://schemas.openxmlformats.org/drawingml/2006/picture">
              <pic:pic xmlns:pic="http://schemas.openxmlformats.org/drawingml/2006/picture">
                <pic:nvPicPr>
                  <pic:cNvPr id="2" name="image1.png" descr="VRTAC-QM logo"/>
                  <pic:cNvPicPr preferRelativeResize="0"/>
                </pic:nvPicPr>
                <pic:blipFill>
                  <a:blip r:embed="rId1"/>
                  <a:srcRect/>
                  <a:stretch>
                    <a:fillRect/>
                  </a:stretch>
                </pic:blipFill>
                <pic:spPr>
                  <a:xfrm>
                    <a:off x="0" y="0"/>
                    <a:ext cx="2134055" cy="98115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C6F"/>
    <w:multiLevelType w:val="multilevel"/>
    <w:tmpl w:val="765E7CC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76D1A01"/>
    <w:multiLevelType w:val="hybridMultilevel"/>
    <w:tmpl w:val="88BC3EA8"/>
    <w:lvl w:ilvl="0" w:tplc="1D22269A">
      <w:start w:val="1"/>
      <w:numFmt w:val="decimal"/>
      <w:lvlText w:val="%1."/>
      <w:lvlJc w:val="left"/>
      <w:pPr>
        <w:tabs>
          <w:tab w:val="num" w:pos="1800"/>
        </w:tabs>
        <w:ind w:left="1800" w:hanging="360"/>
      </w:pPr>
    </w:lvl>
    <w:lvl w:ilvl="1" w:tplc="59D498F4" w:tentative="1">
      <w:start w:val="1"/>
      <w:numFmt w:val="decimal"/>
      <w:lvlText w:val="%2."/>
      <w:lvlJc w:val="left"/>
      <w:pPr>
        <w:tabs>
          <w:tab w:val="num" w:pos="2520"/>
        </w:tabs>
        <w:ind w:left="2520" w:hanging="360"/>
      </w:pPr>
    </w:lvl>
    <w:lvl w:ilvl="2" w:tplc="52A62524" w:tentative="1">
      <w:start w:val="1"/>
      <w:numFmt w:val="decimal"/>
      <w:lvlText w:val="%3."/>
      <w:lvlJc w:val="left"/>
      <w:pPr>
        <w:tabs>
          <w:tab w:val="num" w:pos="3240"/>
        </w:tabs>
        <w:ind w:left="3240" w:hanging="360"/>
      </w:pPr>
    </w:lvl>
    <w:lvl w:ilvl="3" w:tplc="3C46AD7E" w:tentative="1">
      <w:start w:val="1"/>
      <w:numFmt w:val="decimal"/>
      <w:lvlText w:val="%4."/>
      <w:lvlJc w:val="left"/>
      <w:pPr>
        <w:tabs>
          <w:tab w:val="num" w:pos="3960"/>
        </w:tabs>
        <w:ind w:left="3960" w:hanging="360"/>
      </w:pPr>
    </w:lvl>
    <w:lvl w:ilvl="4" w:tplc="3238D6A8" w:tentative="1">
      <w:start w:val="1"/>
      <w:numFmt w:val="decimal"/>
      <w:lvlText w:val="%5."/>
      <w:lvlJc w:val="left"/>
      <w:pPr>
        <w:tabs>
          <w:tab w:val="num" w:pos="4680"/>
        </w:tabs>
        <w:ind w:left="4680" w:hanging="360"/>
      </w:pPr>
    </w:lvl>
    <w:lvl w:ilvl="5" w:tplc="7F5C74D8" w:tentative="1">
      <w:start w:val="1"/>
      <w:numFmt w:val="decimal"/>
      <w:lvlText w:val="%6."/>
      <w:lvlJc w:val="left"/>
      <w:pPr>
        <w:tabs>
          <w:tab w:val="num" w:pos="5400"/>
        </w:tabs>
        <w:ind w:left="5400" w:hanging="360"/>
      </w:pPr>
    </w:lvl>
    <w:lvl w:ilvl="6" w:tplc="E15C2696" w:tentative="1">
      <w:start w:val="1"/>
      <w:numFmt w:val="decimal"/>
      <w:lvlText w:val="%7."/>
      <w:lvlJc w:val="left"/>
      <w:pPr>
        <w:tabs>
          <w:tab w:val="num" w:pos="6120"/>
        </w:tabs>
        <w:ind w:left="6120" w:hanging="360"/>
      </w:pPr>
    </w:lvl>
    <w:lvl w:ilvl="7" w:tplc="C5F6FC52" w:tentative="1">
      <w:start w:val="1"/>
      <w:numFmt w:val="decimal"/>
      <w:lvlText w:val="%8."/>
      <w:lvlJc w:val="left"/>
      <w:pPr>
        <w:tabs>
          <w:tab w:val="num" w:pos="6840"/>
        </w:tabs>
        <w:ind w:left="6840" w:hanging="360"/>
      </w:pPr>
    </w:lvl>
    <w:lvl w:ilvl="8" w:tplc="78C6B158" w:tentative="1">
      <w:start w:val="1"/>
      <w:numFmt w:val="decimal"/>
      <w:lvlText w:val="%9."/>
      <w:lvlJc w:val="left"/>
      <w:pPr>
        <w:tabs>
          <w:tab w:val="num" w:pos="7560"/>
        </w:tabs>
        <w:ind w:left="7560" w:hanging="360"/>
      </w:pPr>
    </w:lvl>
  </w:abstractNum>
  <w:abstractNum w:abstractNumId="2" w15:restartNumberingAfterBreak="0">
    <w:nsid w:val="0C0A1E8C"/>
    <w:multiLevelType w:val="hybridMultilevel"/>
    <w:tmpl w:val="4C6ADF00"/>
    <w:lvl w:ilvl="0" w:tplc="9F46E4E8">
      <w:start w:val="1"/>
      <w:numFmt w:val="decimal"/>
      <w:lvlText w:val="%1."/>
      <w:lvlJc w:val="left"/>
      <w:pPr>
        <w:tabs>
          <w:tab w:val="num" w:pos="720"/>
        </w:tabs>
        <w:ind w:left="720" w:hanging="360"/>
      </w:pPr>
    </w:lvl>
    <w:lvl w:ilvl="1" w:tplc="1FF69CBA" w:tentative="1">
      <w:start w:val="1"/>
      <w:numFmt w:val="decimal"/>
      <w:lvlText w:val="%2."/>
      <w:lvlJc w:val="left"/>
      <w:pPr>
        <w:tabs>
          <w:tab w:val="num" w:pos="1440"/>
        </w:tabs>
        <w:ind w:left="1440" w:hanging="360"/>
      </w:pPr>
    </w:lvl>
    <w:lvl w:ilvl="2" w:tplc="002E5A8C" w:tentative="1">
      <w:start w:val="1"/>
      <w:numFmt w:val="decimal"/>
      <w:lvlText w:val="%3."/>
      <w:lvlJc w:val="left"/>
      <w:pPr>
        <w:tabs>
          <w:tab w:val="num" w:pos="2160"/>
        </w:tabs>
        <w:ind w:left="2160" w:hanging="360"/>
      </w:pPr>
    </w:lvl>
    <w:lvl w:ilvl="3" w:tplc="1230FB8E" w:tentative="1">
      <w:start w:val="1"/>
      <w:numFmt w:val="decimal"/>
      <w:lvlText w:val="%4."/>
      <w:lvlJc w:val="left"/>
      <w:pPr>
        <w:tabs>
          <w:tab w:val="num" w:pos="2880"/>
        </w:tabs>
        <w:ind w:left="2880" w:hanging="360"/>
      </w:pPr>
    </w:lvl>
    <w:lvl w:ilvl="4" w:tplc="2D1E2102" w:tentative="1">
      <w:start w:val="1"/>
      <w:numFmt w:val="decimal"/>
      <w:lvlText w:val="%5."/>
      <w:lvlJc w:val="left"/>
      <w:pPr>
        <w:tabs>
          <w:tab w:val="num" w:pos="3600"/>
        </w:tabs>
        <w:ind w:left="3600" w:hanging="360"/>
      </w:pPr>
    </w:lvl>
    <w:lvl w:ilvl="5" w:tplc="A04AE2D0" w:tentative="1">
      <w:start w:val="1"/>
      <w:numFmt w:val="decimal"/>
      <w:lvlText w:val="%6."/>
      <w:lvlJc w:val="left"/>
      <w:pPr>
        <w:tabs>
          <w:tab w:val="num" w:pos="4320"/>
        </w:tabs>
        <w:ind w:left="4320" w:hanging="360"/>
      </w:pPr>
    </w:lvl>
    <w:lvl w:ilvl="6" w:tplc="CE424020" w:tentative="1">
      <w:start w:val="1"/>
      <w:numFmt w:val="decimal"/>
      <w:lvlText w:val="%7."/>
      <w:lvlJc w:val="left"/>
      <w:pPr>
        <w:tabs>
          <w:tab w:val="num" w:pos="5040"/>
        </w:tabs>
        <w:ind w:left="5040" w:hanging="360"/>
      </w:pPr>
    </w:lvl>
    <w:lvl w:ilvl="7" w:tplc="8BBAD9B8" w:tentative="1">
      <w:start w:val="1"/>
      <w:numFmt w:val="decimal"/>
      <w:lvlText w:val="%8."/>
      <w:lvlJc w:val="left"/>
      <w:pPr>
        <w:tabs>
          <w:tab w:val="num" w:pos="5760"/>
        </w:tabs>
        <w:ind w:left="5760" w:hanging="360"/>
      </w:pPr>
    </w:lvl>
    <w:lvl w:ilvl="8" w:tplc="1562C654" w:tentative="1">
      <w:start w:val="1"/>
      <w:numFmt w:val="decimal"/>
      <w:lvlText w:val="%9."/>
      <w:lvlJc w:val="left"/>
      <w:pPr>
        <w:tabs>
          <w:tab w:val="num" w:pos="6480"/>
        </w:tabs>
        <w:ind w:left="6480" w:hanging="360"/>
      </w:pPr>
    </w:lvl>
  </w:abstractNum>
  <w:abstractNum w:abstractNumId="3" w15:restartNumberingAfterBreak="0">
    <w:nsid w:val="11CE470B"/>
    <w:multiLevelType w:val="hybridMultilevel"/>
    <w:tmpl w:val="854EA1E2"/>
    <w:lvl w:ilvl="0" w:tplc="F36033D8">
      <w:start w:val="1"/>
      <w:numFmt w:val="lowerLetter"/>
      <w:lvlText w:val="(%1)"/>
      <w:lvlJc w:val="left"/>
      <w:pPr>
        <w:tabs>
          <w:tab w:val="num" w:pos="720"/>
        </w:tabs>
        <w:ind w:left="720" w:hanging="360"/>
      </w:pPr>
    </w:lvl>
    <w:lvl w:ilvl="1" w:tplc="37E238C4">
      <w:start w:val="1"/>
      <w:numFmt w:val="decimal"/>
      <w:lvlText w:val="(%2)"/>
      <w:lvlJc w:val="left"/>
      <w:pPr>
        <w:tabs>
          <w:tab w:val="num" w:pos="1440"/>
        </w:tabs>
        <w:ind w:left="1440" w:hanging="360"/>
      </w:pPr>
    </w:lvl>
    <w:lvl w:ilvl="2" w:tplc="20C47188" w:tentative="1">
      <w:start w:val="1"/>
      <w:numFmt w:val="lowerLetter"/>
      <w:lvlText w:val="(%3)"/>
      <w:lvlJc w:val="left"/>
      <w:pPr>
        <w:tabs>
          <w:tab w:val="num" w:pos="2160"/>
        </w:tabs>
        <w:ind w:left="2160" w:hanging="360"/>
      </w:pPr>
    </w:lvl>
    <w:lvl w:ilvl="3" w:tplc="E7C4089E" w:tentative="1">
      <w:start w:val="1"/>
      <w:numFmt w:val="lowerLetter"/>
      <w:lvlText w:val="(%4)"/>
      <w:lvlJc w:val="left"/>
      <w:pPr>
        <w:tabs>
          <w:tab w:val="num" w:pos="2880"/>
        </w:tabs>
        <w:ind w:left="2880" w:hanging="360"/>
      </w:pPr>
    </w:lvl>
    <w:lvl w:ilvl="4" w:tplc="14963BCA" w:tentative="1">
      <w:start w:val="1"/>
      <w:numFmt w:val="lowerLetter"/>
      <w:lvlText w:val="(%5)"/>
      <w:lvlJc w:val="left"/>
      <w:pPr>
        <w:tabs>
          <w:tab w:val="num" w:pos="3600"/>
        </w:tabs>
        <w:ind w:left="3600" w:hanging="360"/>
      </w:pPr>
    </w:lvl>
    <w:lvl w:ilvl="5" w:tplc="036CB09E" w:tentative="1">
      <w:start w:val="1"/>
      <w:numFmt w:val="lowerLetter"/>
      <w:lvlText w:val="(%6)"/>
      <w:lvlJc w:val="left"/>
      <w:pPr>
        <w:tabs>
          <w:tab w:val="num" w:pos="4320"/>
        </w:tabs>
        <w:ind w:left="4320" w:hanging="360"/>
      </w:pPr>
    </w:lvl>
    <w:lvl w:ilvl="6" w:tplc="119E2222" w:tentative="1">
      <w:start w:val="1"/>
      <w:numFmt w:val="lowerLetter"/>
      <w:lvlText w:val="(%7)"/>
      <w:lvlJc w:val="left"/>
      <w:pPr>
        <w:tabs>
          <w:tab w:val="num" w:pos="5040"/>
        </w:tabs>
        <w:ind w:left="5040" w:hanging="360"/>
      </w:pPr>
    </w:lvl>
    <w:lvl w:ilvl="7" w:tplc="C876DF26" w:tentative="1">
      <w:start w:val="1"/>
      <w:numFmt w:val="lowerLetter"/>
      <w:lvlText w:val="(%8)"/>
      <w:lvlJc w:val="left"/>
      <w:pPr>
        <w:tabs>
          <w:tab w:val="num" w:pos="5760"/>
        </w:tabs>
        <w:ind w:left="5760" w:hanging="360"/>
      </w:pPr>
    </w:lvl>
    <w:lvl w:ilvl="8" w:tplc="701A34C8" w:tentative="1">
      <w:start w:val="1"/>
      <w:numFmt w:val="lowerLetter"/>
      <w:lvlText w:val="(%9)"/>
      <w:lvlJc w:val="left"/>
      <w:pPr>
        <w:tabs>
          <w:tab w:val="num" w:pos="6480"/>
        </w:tabs>
        <w:ind w:left="6480" w:hanging="360"/>
      </w:pPr>
    </w:lvl>
  </w:abstractNum>
  <w:abstractNum w:abstractNumId="4" w15:restartNumberingAfterBreak="0">
    <w:nsid w:val="147F0CC7"/>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6876269"/>
    <w:multiLevelType w:val="hybridMultilevel"/>
    <w:tmpl w:val="6A526BCA"/>
    <w:lvl w:ilvl="0" w:tplc="0409000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FDD20D8"/>
    <w:multiLevelType w:val="hybridMultilevel"/>
    <w:tmpl w:val="71425BB2"/>
    <w:lvl w:ilvl="0" w:tplc="5984A58E">
      <w:start w:val="1"/>
      <w:numFmt w:val="bullet"/>
      <w:lvlText w:val=""/>
      <w:lvlJc w:val="left"/>
      <w:pPr>
        <w:tabs>
          <w:tab w:val="num" w:pos="1800"/>
        </w:tabs>
        <w:ind w:left="1800" w:hanging="360"/>
      </w:pPr>
      <w:rPr>
        <w:rFonts w:ascii="Symbol" w:hAnsi="Symbol" w:hint="default"/>
      </w:rPr>
    </w:lvl>
    <w:lvl w:ilvl="1" w:tplc="BE66F32C" w:tentative="1">
      <w:start w:val="1"/>
      <w:numFmt w:val="bullet"/>
      <w:lvlText w:val=""/>
      <w:lvlJc w:val="left"/>
      <w:pPr>
        <w:tabs>
          <w:tab w:val="num" w:pos="2520"/>
        </w:tabs>
        <w:ind w:left="2520" w:hanging="360"/>
      </w:pPr>
      <w:rPr>
        <w:rFonts w:ascii="Symbol" w:hAnsi="Symbol" w:hint="default"/>
      </w:rPr>
    </w:lvl>
    <w:lvl w:ilvl="2" w:tplc="663A50F6" w:tentative="1">
      <w:start w:val="1"/>
      <w:numFmt w:val="bullet"/>
      <w:lvlText w:val=""/>
      <w:lvlJc w:val="left"/>
      <w:pPr>
        <w:tabs>
          <w:tab w:val="num" w:pos="3240"/>
        </w:tabs>
        <w:ind w:left="3240" w:hanging="360"/>
      </w:pPr>
      <w:rPr>
        <w:rFonts w:ascii="Symbol" w:hAnsi="Symbol" w:hint="default"/>
      </w:rPr>
    </w:lvl>
    <w:lvl w:ilvl="3" w:tplc="3F2852C8" w:tentative="1">
      <w:start w:val="1"/>
      <w:numFmt w:val="bullet"/>
      <w:lvlText w:val=""/>
      <w:lvlJc w:val="left"/>
      <w:pPr>
        <w:tabs>
          <w:tab w:val="num" w:pos="3960"/>
        </w:tabs>
        <w:ind w:left="3960" w:hanging="360"/>
      </w:pPr>
      <w:rPr>
        <w:rFonts w:ascii="Symbol" w:hAnsi="Symbol" w:hint="default"/>
      </w:rPr>
    </w:lvl>
    <w:lvl w:ilvl="4" w:tplc="1D92C858" w:tentative="1">
      <w:start w:val="1"/>
      <w:numFmt w:val="bullet"/>
      <w:lvlText w:val=""/>
      <w:lvlJc w:val="left"/>
      <w:pPr>
        <w:tabs>
          <w:tab w:val="num" w:pos="4680"/>
        </w:tabs>
        <w:ind w:left="4680" w:hanging="360"/>
      </w:pPr>
      <w:rPr>
        <w:rFonts w:ascii="Symbol" w:hAnsi="Symbol" w:hint="default"/>
      </w:rPr>
    </w:lvl>
    <w:lvl w:ilvl="5" w:tplc="8FFC23C4" w:tentative="1">
      <w:start w:val="1"/>
      <w:numFmt w:val="bullet"/>
      <w:lvlText w:val=""/>
      <w:lvlJc w:val="left"/>
      <w:pPr>
        <w:tabs>
          <w:tab w:val="num" w:pos="5400"/>
        </w:tabs>
        <w:ind w:left="5400" w:hanging="360"/>
      </w:pPr>
      <w:rPr>
        <w:rFonts w:ascii="Symbol" w:hAnsi="Symbol" w:hint="default"/>
      </w:rPr>
    </w:lvl>
    <w:lvl w:ilvl="6" w:tplc="6CAA2478" w:tentative="1">
      <w:start w:val="1"/>
      <w:numFmt w:val="bullet"/>
      <w:lvlText w:val=""/>
      <w:lvlJc w:val="left"/>
      <w:pPr>
        <w:tabs>
          <w:tab w:val="num" w:pos="6120"/>
        </w:tabs>
        <w:ind w:left="6120" w:hanging="360"/>
      </w:pPr>
      <w:rPr>
        <w:rFonts w:ascii="Symbol" w:hAnsi="Symbol" w:hint="default"/>
      </w:rPr>
    </w:lvl>
    <w:lvl w:ilvl="7" w:tplc="76ECE08E" w:tentative="1">
      <w:start w:val="1"/>
      <w:numFmt w:val="bullet"/>
      <w:lvlText w:val=""/>
      <w:lvlJc w:val="left"/>
      <w:pPr>
        <w:tabs>
          <w:tab w:val="num" w:pos="6840"/>
        </w:tabs>
        <w:ind w:left="6840" w:hanging="360"/>
      </w:pPr>
      <w:rPr>
        <w:rFonts w:ascii="Symbol" w:hAnsi="Symbol" w:hint="default"/>
      </w:rPr>
    </w:lvl>
    <w:lvl w:ilvl="8" w:tplc="63FC4022" w:tentative="1">
      <w:start w:val="1"/>
      <w:numFmt w:val="bullet"/>
      <w:lvlText w:val=""/>
      <w:lvlJc w:val="left"/>
      <w:pPr>
        <w:tabs>
          <w:tab w:val="num" w:pos="7560"/>
        </w:tabs>
        <w:ind w:left="7560" w:hanging="360"/>
      </w:pPr>
      <w:rPr>
        <w:rFonts w:ascii="Symbol" w:hAnsi="Symbol" w:hint="default"/>
      </w:rPr>
    </w:lvl>
  </w:abstractNum>
  <w:abstractNum w:abstractNumId="7" w15:restartNumberingAfterBreak="0">
    <w:nsid w:val="2D5716D1"/>
    <w:multiLevelType w:val="hybridMultilevel"/>
    <w:tmpl w:val="2FDC8A3E"/>
    <w:lvl w:ilvl="0" w:tplc="092AEEDC">
      <w:start w:val="3"/>
      <w:numFmt w:val="upperRoman"/>
      <w:lvlText w:val="%1."/>
      <w:lvlJc w:val="right"/>
      <w:pPr>
        <w:tabs>
          <w:tab w:val="num" w:pos="720"/>
        </w:tabs>
        <w:ind w:left="720" w:hanging="360"/>
      </w:pPr>
    </w:lvl>
    <w:lvl w:ilvl="1" w:tplc="34E0E86E" w:tentative="1">
      <w:start w:val="1"/>
      <w:numFmt w:val="upperRoman"/>
      <w:lvlText w:val="%2."/>
      <w:lvlJc w:val="right"/>
      <w:pPr>
        <w:tabs>
          <w:tab w:val="num" w:pos="1440"/>
        </w:tabs>
        <w:ind w:left="1440" w:hanging="360"/>
      </w:pPr>
    </w:lvl>
    <w:lvl w:ilvl="2" w:tplc="553422FA" w:tentative="1">
      <w:start w:val="1"/>
      <w:numFmt w:val="upperRoman"/>
      <w:lvlText w:val="%3."/>
      <w:lvlJc w:val="right"/>
      <w:pPr>
        <w:tabs>
          <w:tab w:val="num" w:pos="2160"/>
        </w:tabs>
        <w:ind w:left="2160" w:hanging="360"/>
      </w:pPr>
    </w:lvl>
    <w:lvl w:ilvl="3" w:tplc="457612E2" w:tentative="1">
      <w:start w:val="1"/>
      <w:numFmt w:val="upperRoman"/>
      <w:lvlText w:val="%4."/>
      <w:lvlJc w:val="right"/>
      <w:pPr>
        <w:tabs>
          <w:tab w:val="num" w:pos="2880"/>
        </w:tabs>
        <w:ind w:left="2880" w:hanging="360"/>
      </w:pPr>
    </w:lvl>
    <w:lvl w:ilvl="4" w:tplc="EA848556" w:tentative="1">
      <w:start w:val="1"/>
      <w:numFmt w:val="upperRoman"/>
      <w:lvlText w:val="%5."/>
      <w:lvlJc w:val="right"/>
      <w:pPr>
        <w:tabs>
          <w:tab w:val="num" w:pos="3600"/>
        </w:tabs>
        <w:ind w:left="3600" w:hanging="360"/>
      </w:pPr>
    </w:lvl>
    <w:lvl w:ilvl="5" w:tplc="DAE880D6" w:tentative="1">
      <w:start w:val="1"/>
      <w:numFmt w:val="upperRoman"/>
      <w:lvlText w:val="%6."/>
      <w:lvlJc w:val="right"/>
      <w:pPr>
        <w:tabs>
          <w:tab w:val="num" w:pos="4320"/>
        </w:tabs>
        <w:ind w:left="4320" w:hanging="360"/>
      </w:pPr>
    </w:lvl>
    <w:lvl w:ilvl="6" w:tplc="F3C2EECA" w:tentative="1">
      <w:start w:val="1"/>
      <w:numFmt w:val="upperRoman"/>
      <w:lvlText w:val="%7."/>
      <w:lvlJc w:val="right"/>
      <w:pPr>
        <w:tabs>
          <w:tab w:val="num" w:pos="5040"/>
        </w:tabs>
        <w:ind w:left="5040" w:hanging="360"/>
      </w:pPr>
    </w:lvl>
    <w:lvl w:ilvl="7" w:tplc="49CEEA3A" w:tentative="1">
      <w:start w:val="1"/>
      <w:numFmt w:val="upperRoman"/>
      <w:lvlText w:val="%8."/>
      <w:lvlJc w:val="right"/>
      <w:pPr>
        <w:tabs>
          <w:tab w:val="num" w:pos="5760"/>
        </w:tabs>
        <w:ind w:left="5760" w:hanging="360"/>
      </w:pPr>
    </w:lvl>
    <w:lvl w:ilvl="8" w:tplc="56DEE61C" w:tentative="1">
      <w:start w:val="1"/>
      <w:numFmt w:val="upperRoman"/>
      <w:lvlText w:val="%9."/>
      <w:lvlJc w:val="right"/>
      <w:pPr>
        <w:tabs>
          <w:tab w:val="num" w:pos="6480"/>
        </w:tabs>
        <w:ind w:left="6480" w:hanging="360"/>
      </w:pPr>
    </w:lvl>
  </w:abstractNum>
  <w:abstractNum w:abstractNumId="8" w15:restartNumberingAfterBreak="0">
    <w:nsid w:val="33546442"/>
    <w:multiLevelType w:val="hybridMultilevel"/>
    <w:tmpl w:val="DDFA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06E4D"/>
    <w:multiLevelType w:val="hybridMultilevel"/>
    <w:tmpl w:val="7B1ED4F2"/>
    <w:lvl w:ilvl="0" w:tplc="FE5C931C">
      <w:start w:val="1"/>
      <w:numFmt w:val="decimal"/>
      <w:lvlText w:val="%1."/>
      <w:lvlJc w:val="left"/>
      <w:pPr>
        <w:tabs>
          <w:tab w:val="num" w:pos="1800"/>
        </w:tabs>
        <w:ind w:left="1800" w:hanging="360"/>
      </w:pPr>
    </w:lvl>
    <w:lvl w:ilvl="1" w:tplc="0FD27210" w:tentative="1">
      <w:start w:val="1"/>
      <w:numFmt w:val="decimal"/>
      <w:lvlText w:val="%2."/>
      <w:lvlJc w:val="left"/>
      <w:pPr>
        <w:tabs>
          <w:tab w:val="num" w:pos="2520"/>
        </w:tabs>
        <w:ind w:left="2520" w:hanging="360"/>
      </w:pPr>
    </w:lvl>
    <w:lvl w:ilvl="2" w:tplc="4906BC2A" w:tentative="1">
      <w:start w:val="1"/>
      <w:numFmt w:val="decimal"/>
      <w:lvlText w:val="%3."/>
      <w:lvlJc w:val="left"/>
      <w:pPr>
        <w:tabs>
          <w:tab w:val="num" w:pos="3240"/>
        </w:tabs>
        <w:ind w:left="3240" w:hanging="360"/>
      </w:pPr>
    </w:lvl>
    <w:lvl w:ilvl="3" w:tplc="50683356" w:tentative="1">
      <w:start w:val="1"/>
      <w:numFmt w:val="decimal"/>
      <w:lvlText w:val="%4."/>
      <w:lvlJc w:val="left"/>
      <w:pPr>
        <w:tabs>
          <w:tab w:val="num" w:pos="3960"/>
        </w:tabs>
        <w:ind w:left="3960" w:hanging="360"/>
      </w:pPr>
    </w:lvl>
    <w:lvl w:ilvl="4" w:tplc="CA8AA5E6" w:tentative="1">
      <w:start w:val="1"/>
      <w:numFmt w:val="decimal"/>
      <w:lvlText w:val="%5."/>
      <w:lvlJc w:val="left"/>
      <w:pPr>
        <w:tabs>
          <w:tab w:val="num" w:pos="4680"/>
        </w:tabs>
        <w:ind w:left="4680" w:hanging="360"/>
      </w:pPr>
    </w:lvl>
    <w:lvl w:ilvl="5" w:tplc="E0A24B80" w:tentative="1">
      <w:start w:val="1"/>
      <w:numFmt w:val="decimal"/>
      <w:lvlText w:val="%6."/>
      <w:lvlJc w:val="left"/>
      <w:pPr>
        <w:tabs>
          <w:tab w:val="num" w:pos="5400"/>
        </w:tabs>
        <w:ind w:left="5400" w:hanging="360"/>
      </w:pPr>
    </w:lvl>
    <w:lvl w:ilvl="6" w:tplc="BE1CBF6A" w:tentative="1">
      <w:start w:val="1"/>
      <w:numFmt w:val="decimal"/>
      <w:lvlText w:val="%7."/>
      <w:lvlJc w:val="left"/>
      <w:pPr>
        <w:tabs>
          <w:tab w:val="num" w:pos="6120"/>
        </w:tabs>
        <w:ind w:left="6120" w:hanging="360"/>
      </w:pPr>
    </w:lvl>
    <w:lvl w:ilvl="7" w:tplc="ED8E08C8" w:tentative="1">
      <w:start w:val="1"/>
      <w:numFmt w:val="decimal"/>
      <w:lvlText w:val="%8."/>
      <w:lvlJc w:val="left"/>
      <w:pPr>
        <w:tabs>
          <w:tab w:val="num" w:pos="6840"/>
        </w:tabs>
        <w:ind w:left="6840" w:hanging="360"/>
      </w:pPr>
    </w:lvl>
    <w:lvl w:ilvl="8" w:tplc="229E5366" w:tentative="1">
      <w:start w:val="1"/>
      <w:numFmt w:val="decimal"/>
      <w:lvlText w:val="%9."/>
      <w:lvlJc w:val="left"/>
      <w:pPr>
        <w:tabs>
          <w:tab w:val="num" w:pos="7560"/>
        </w:tabs>
        <w:ind w:left="7560" w:hanging="360"/>
      </w:pPr>
    </w:lvl>
  </w:abstractNum>
  <w:abstractNum w:abstractNumId="10" w15:restartNumberingAfterBreak="0">
    <w:nsid w:val="47DC1295"/>
    <w:multiLevelType w:val="hybridMultilevel"/>
    <w:tmpl w:val="255466C8"/>
    <w:lvl w:ilvl="0" w:tplc="95624236">
      <w:start w:val="1"/>
      <w:numFmt w:val="decimal"/>
      <w:lvlText w:val="%1."/>
      <w:lvlJc w:val="left"/>
      <w:pPr>
        <w:tabs>
          <w:tab w:val="num" w:pos="1800"/>
        </w:tabs>
        <w:ind w:left="1800" w:hanging="360"/>
      </w:pPr>
    </w:lvl>
    <w:lvl w:ilvl="1" w:tplc="6468714A" w:tentative="1">
      <w:start w:val="1"/>
      <w:numFmt w:val="decimal"/>
      <w:lvlText w:val="%2."/>
      <w:lvlJc w:val="left"/>
      <w:pPr>
        <w:tabs>
          <w:tab w:val="num" w:pos="2520"/>
        </w:tabs>
        <w:ind w:left="2520" w:hanging="360"/>
      </w:pPr>
    </w:lvl>
    <w:lvl w:ilvl="2" w:tplc="8450508C" w:tentative="1">
      <w:start w:val="1"/>
      <w:numFmt w:val="decimal"/>
      <w:lvlText w:val="%3."/>
      <w:lvlJc w:val="left"/>
      <w:pPr>
        <w:tabs>
          <w:tab w:val="num" w:pos="3240"/>
        </w:tabs>
        <w:ind w:left="3240" w:hanging="360"/>
      </w:pPr>
    </w:lvl>
    <w:lvl w:ilvl="3" w:tplc="7016550A" w:tentative="1">
      <w:start w:val="1"/>
      <w:numFmt w:val="decimal"/>
      <w:lvlText w:val="%4."/>
      <w:lvlJc w:val="left"/>
      <w:pPr>
        <w:tabs>
          <w:tab w:val="num" w:pos="3960"/>
        </w:tabs>
        <w:ind w:left="3960" w:hanging="360"/>
      </w:pPr>
    </w:lvl>
    <w:lvl w:ilvl="4" w:tplc="D01C53F4" w:tentative="1">
      <w:start w:val="1"/>
      <w:numFmt w:val="decimal"/>
      <w:lvlText w:val="%5."/>
      <w:lvlJc w:val="left"/>
      <w:pPr>
        <w:tabs>
          <w:tab w:val="num" w:pos="4680"/>
        </w:tabs>
        <w:ind w:left="4680" w:hanging="360"/>
      </w:pPr>
    </w:lvl>
    <w:lvl w:ilvl="5" w:tplc="24A8B63A" w:tentative="1">
      <w:start w:val="1"/>
      <w:numFmt w:val="decimal"/>
      <w:lvlText w:val="%6."/>
      <w:lvlJc w:val="left"/>
      <w:pPr>
        <w:tabs>
          <w:tab w:val="num" w:pos="5400"/>
        </w:tabs>
        <w:ind w:left="5400" w:hanging="360"/>
      </w:pPr>
    </w:lvl>
    <w:lvl w:ilvl="6" w:tplc="4258A12A" w:tentative="1">
      <w:start w:val="1"/>
      <w:numFmt w:val="decimal"/>
      <w:lvlText w:val="%7."/>
      <w:lvlJc w:val="left"/>
      <w:pPr>
        <w:tabs>
          <w:tab w:val="num" w:pos="6120"/>
        </w:tabs>
        <w:ind w:left="6120" w:hanging="360"/>
      </w:pPr>
    </w:lvl>
    <w:lvl w:ilvl="7" w:tplc="498E238C" w:tentative="1">
      <w:start w:val="1"/>
      <w:numFmt w:val="decimal"/>
      <w:lvlText w:val="%8."/>
      <w:lvlJc w:val="left"/>
      <w:pPr>
        <w:tabs>
          <w:tab w:val="num" w:pos="6840"/>
        </w:tabs>
        <w:ind w:left="6840" w:hanging="360"/>
      </w:pPr>
    </w:lvl>
    <w:lvl w:ilvl="8" w:tplc="FE7C9CC0" w:tentative="1">
      <w:start w:val="1"/>
      <w:numFmt w:val="decimal"/>
      <w:lvlText w:val="%9."/>
      <w:lvlJc w:val="left"/>
      <w:pPr>
        <w:tabs>
          <w:tab w:val="num" w:pos="7560"/>
        </w:tabs>
        <w:ind w:left="7560" w:hanging="360"/>
      </w:pPr>
    </w:lvl>
  </w:abstractNum>
  <w:abstractNum w:abstractNumId="11" w15:restartNumberingAfterBreak="0">
    <w:nsid w:val="48B17302"/>
    <w:multiLevelType w:val="hybridMultilevel"/>
    <w:tmpl w:val="EA00B9B2"/>
    <w:lvl w:ilvl="0" w:tplc="7FB0296E">
      <w:start w:val="1"/>
      <w:numFmt w:val="decimal"/>
      <w:lvlText w:val="%1."/>
      <w:lvlJc w:val="left"/>
      <w:pPr>
        <w:tabs>
          <w:tab w:val="num" w:pos="720"/>
        </w:tabs>
        <w:ind w:left="720" w:hanging="360"/>
      </w:pPr>
    </w:lvl>
    <w:lvl w:ilvl="1" w:tplc="B55AB7E6" w:tentative="1">
      <w:start w:val="1"/>
      <w:numFmt w:val="decimal"/>
      <w:lvlText w:val="%2."/>
      <w:lvlJc w:val="left"/>
      <w:pPr>
        <w:tabs>
          <w:tab w:val="num" w:pos="1440"/>
        </w:tabs>
        <w:ind w:left="1440" w:hanging="360"/>
      </w:pPr>
    </w:lvl>
    <w:lvl w:ilvl="2" w:tplc="A70038E6" w:tentative="1">
      <w:start w:val="1"/>
      <w:numFmt w:val="decimal"/>
      <w:lvlText w:val="%3."/>
      <w:lvlJc w:val="left"/>
      <w:pPr>
        <w:tabs>
          <w:tab w:val="num" w:pos="2160"/>
        </w:tabs>
        <w:ind w:left="2160" w:hanging="360"/>
      </w:pPr>
    </w:lvl>
    <w:lvl w:ilvl="3" w:tplc="46360C4A" w:tentative="1">
      <w:start w:val="1"/>
      <w:numFmt w:val="decimal"/>
      <w:lvlText w:val="%4."/>
      <w:lvlJc w:val="left"/>
      <w:pPr>
        <w:tabs>
          <w:tab w:val="num" w:pos="2880"/>
        </w:tabs>
        <w:ind w:left="2880" w:hanging="360"/>
      </w:pPr>
    </w:lvl>
    <w:lvl w:ilvl="4" w:tplc="DAEC4650" w:tentative="1">
      <w:start w:val="1"/>
      <w:numFmt w:val="decimal"/>
      <w:lvlText w:val="%5."/>
      <w:lvlJc w:val="left"/>
      <w:pPr>
        <w:tabs>
          <w:tab w:val="num" w:pos="3600"/>
        </w:tabs>
        <w:ind w:left="3600" w:hanging="360"/>
      </w:pPr>
    </w:lvl>
    <w:lvl w:ilvl="5" w:tplc="D3D66A02" w:tentative="1">
      <w:start w:val="1"/>
      <w:numFmt w:val="decimal"/>
      <w:lvlText w:val="%6."/>
      <w:lvlJc w:val="left"/>
      <w:pPr>
        <w:tabs>
          <w:tab w:val="num" w:pos="4320"/>
        </w:tabs>
        <w:ind w:left="4320" w:hanging="360"/>
      </w:pPr>
    </w:lvl>
    <w:lvl w:ilvl="6" w:tplc="545840FA" w:tentative="1">
      <w:start w:val="1"/>
      <w:numFmt w:val="decimal"/>
      <w:lvlText w:val="%7."/>
      <w:lvlJc w:val="left"/>
      <w:pPr>
        <w:tabs>
          <w:tab w:val="num" w:pos="5040"/>
        </w:tabs>
        <w:ind w:left="5040" w:hanging="360"/>
      </w:pPr>
    </w:lvl>
    <w:lvl w:ilvl="7" w:tplc="4B1605F6" w:tentative="1">
      <w:start w:val="1"/>
      <w:numFmt w:val="decimal"/>
      <w:lvlText w:val="%8."/>
      <w:lvlJc w:val="left"/>
      <w:pPr>
        <w:tabs>
          <w:tab w:val="num" w:pos="5760"/>
        </w:tabs>
        <w:ind w:left="5760" w:hanging="360"/>
      </w:pPr>
    </w:lvl>
    <w:lvl w:ilvl="8" w:tplc="EF5C5FFE" w:tentative="1">
      <w:start w:val="1"/>
      <w:numFmt w:val="decimal"/>
      <w:lvlText w:val="%9."/>
      <w:lvlJc w:val="left"/>
      <w:pPr>
        <w:tabs>
          <w:tab w:val="num" w:pos="6480"/>
        </w:tabs>
        <w:ind w:left="6480" w:hanging="360"/>
      </w:pPr>
    </w:lvl>
  </w:abstractNum>
  <w:abstractNum w:abstractNumId="12" w15:restartNumberingAfterBreak="0">
    <w:nsid w:val="4E223398"/>
    <w:multiLevelType w:val="hybridMultilevel"/>
    <w:tmpl w:val="0D280618"/>
    <w:lvl w:ilvl="0" w:tplc="0040029E">
      <w:start w:val="1"/>
      <w:numFmt w:val="decimal"/>
      <w:lvlText w:val="%1."/>
      <w:lvlJc w:val="left"/>
      <w:pPr>
        <w:tabs>
          <w:tab w:val="num" w:pos="720"/>
        </w:tabs>
        <w:ind w:left="720" w:hanging="360"/>
      </w:pPr>
    </w:lvl>
    <w:lvl w:ilvl="1" w:tplc="C9D0A962" w:tentative="1">
      <w:start w:val="1"/>
      <w:numFmt w:val="decimal"/>
      <w:lvlText w:val="%2."/>
      <w:lvlJc w:val="left"/>
      <w:pPr>
        <w:tabs>
          <w:tab w:val="num" w:pos="1440"/>
        </w:tabs>
        <w:ind w:left="1440" w:hanging="360"/>
      </w:pPr>
    </w:lvl>
    <w:lvl w:ilvl="2" w:tplc="AEAA66A0" w:tentative="1">
      <w:start w:val="1"/>
      <w:numFmt w:val="decimal"/>
      <w:lvlText w:val="%3."/>
      <w:lvlJc w:val="left"/>
      <w:pPr>
        <w:tabs>
          <w:tab w:val="num" w:pos="2160"/>
        </w:tabs>
        <w:ind w:left="2160" w:hanging="360"/>
      </w:pPr>
    </w:lvl>
    <w:lvl w:ilvl="3" w:tplc="897E0836" w:tentative="1">
      <w:start w:val="1"/>
      <w:numFmt w:val="decimal"/>
      <w:lvlText w:val="%4."/>
      <w:lvlJc w:val="left"/>
      <w:pPr>
        <w:tabs>
          <w:tab w:val="num" w:pos="2880"/>
        </w:tabs>
        <w:ind w:left="2880" w:hanging="360"/>
      </w:pPr>
    </w:lvl>
    <w:lvl w:ilvl="4" w:tplc="5DEC9EFE" w:tentative="1">
      <w:start w:val="1"/>
      <w:numFmt w:val="decimal"/>
      <w:lvlText w:val="%5."/>
      <w:lvlJc w:val="left"/>
      <w:pPr>
        <w:tabs>
          <w:tab w:val="num" w:pos="3600"/>
        </w:tabs>
        <w:ind w:left="3600" w:hanging="360"/>
      </w:pPr>
    </w:lvl>
    <w:lvl w:ilvl="5" w:tplc="FB36D1F2" w:tentative="1">
      <w:start w:val="1"/>
      <w:numFmt w:val="decimal"/>
      <w:lvlText w:val="%6."/>
      <w:lvlJc w:val="left"/>
      <w:pPr>
        <w:tabs>
          <w:tab w:val="num" w:pos="4320"/>
        </w:tabs>
        <w:ind w:left="4320" w:hanging="360"/>
      </w:pPr>
    </w:lvl>
    <w:lvl w:ilvl="6" w:tplc="CAE2D4D6" w:tentative="1">
      <w:start w:val="1"/>
      <w:numFmt w:val="decimal"/>
      <w:lvlText w:val="%7."/>
      <w:lvlJc w:val="left"/>
      <w:pPr>
        <w:tabs>
          <w:tab w:val="num" w:pos="5040"/>
        </w:tabs>
        <w:ind w:left="5040" w:hanging="360"/>
      </w:pPr>
    </w:lvl>
    <w:lvl w:ilvl="7" w:tplc="B252860C" w:tentative="1">
      <w:start w:val="1"/>
      <w:numFmt w:val="decimal"/>
      <w:lvlText w:val="%8."/>
      <w:lvlJc w:val="left"/>
      <w:pPr>
        <w:tabs>
          <w:tab w:val="num" w:pos="5760"/>
        </w:tabs>
        <w:ind w:left="5760" w:hanging="360"/>
      </w:pPr>
    </w:lvl>
    <w:lvl w:ilvl="8" w:tplc="E306F3E8" w:tentative="1">
      <w:start w:val="1"/>
      <w:numFmt w:val="decimal"/>
      <w:lvlText w:val="%9."/>
      <w:lvlJc w:val="left"/>
      <w:pPr>
        <w:tabs>
          <w:tab w:val="num" w:pos="6480"/>
        </w:tabs>
        <w:ind w:left="6480" w:hanging="360"/>
      </w:pPr>
    </w:lvl>
  </w:abstractNum>
  <w:abstractNum w:abstractNumId="13" w15:restartNumberingAfterBreak="0">
    <w:nsid w:val="4FF47CD5"/>
    <w:multiLevelType w:val="hybridMultilevel"/>
    <w:tmpl w:val="8334D818"/>
    <w:lvl w:ilvl="0" w:tplc="1C5A03C4">
      <w:start w:val="1"/>
      <w:numFmt w:val="lowerLetter"/>
      <w:lvlText w:val="%1."/>
      <w:lvlJc w:val="left"/>
      <w:pPr>
        <w:ind w:left="25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726072"/>
    <w:multiLevelType w:val="hybridMultilevel"/>
    <w:tmpl w:val="929833FC"/>
    <w:lvl w:ilvl="0" w:tplc="CB9CC20A">
      <w:start w:val="1"/>
      <w:numFmt w:val="decimal"/>
      <w:lvlText w:val="%1."/>
      <w:lvlJc w:val="left"/>
      <w:pPr>
        <w:tabs>
          <w:tab w:val="num" w:pos="1800"/>
        </w:tabs>
        <w:ind w:left="1800" w:hanging="360"/>
      </w:pPr>
    </w:lvl>
    <w:lvl w:ilvl="1" w:tplc="73087D2C" w:tentative="1">
      <w:start w:val="1"/>
      <w:numFmt w:val="decimal"/>
      <w:lvlText w:val="%2."/>
      <w:lvlJc w:val="left"/>
      <w:pPr>
        <w:tabs>
          <w:tab w:val="num" w:pos="2520"/>
        </w:tabs>
        <w:ind w:left="2520" w:hanging="360"/>
      </w:pPr>
    </w:lvl>
    <w:lvl w:ilvl="2" w:tplc="5F9E9054" w:tentative="1">
      <w:start w:val="1"/>
      <w:numFmt w:val="decimal"/>
      <w:lvlText w:val="%3."/>
      <w:lvlJc w:val="left"/>
      <w:pPr>
        <w:tabs>
          <w:tab w:val="num" w:pos="3240"/>
        </w:tabs>
        <w:ind w:left="3240" w:hanging="360"/>
      </w:pPr>
    </w:lvl>
    <w:lvl w:ilvl="3" w:tplc="82E4C7AA" w:tentative="1">
      <w:start w:val="1"/>
      <w:numFmt w:val="decimal"/>
      <w:lvlText w:val="%4."/>
      <w:lvlJc w:val="left"/>
      <w:pPr>
        <w:tabs>
          <w:tab w:val="num" w:pos="3960"/>
        </w:tabs>
        <w:ind w:left="3960" w:hanging="360"/>
      </w:pPr>
    </w:lvl>
    <w:lvl w:ilvl="4" w:tplc="6C2671C8" w:tentative="1">
      <w:start w:val="1"/>
      <w:numFmt w:val="decimal"/>
      <w:lvlText w:val="%5."/>
      <w:lvlJc w:val="left"/>
      <w:pPr>
        <w:tabs>
          <w:tab w:val="num" w:pos="4680"/>
        </w:tabs>
        <w:ind w:left="4680" w:hanging="360"/>
      </w:pPr>
    </w:lvl>
    <w:lvl w:ilvl="5" w:tplc="7B4472D8" w:tentative="1">
      <w:start w:val="1"/>
      <w:numFmt w:val="decimal"/>
      <w:lvlText w:val="%6."/>
      <w:lvlJc w:val="left"/>
      <w:pPr>
        <w:tabs>
          <w:tab w:val="num" w:pos="5400"/>
        </w:tabs>
        <w:ind w:left="5400" w:hanging="360"/>
      </w:pPr>
    </w:lvl>
    <w:lvl w:ilvl="6" w:tplc="60AE7824" w:tentative="1">
      <w:start w:val="1"/>
      <w:numFmt w:val="decimal"/>
      <w:lvlText w:val="%7."/>
      <w:lvlJc w:val="left"/>
      <w:pPr>
        <w:tabs>
          <w:tab w:val="num" w:pos="6120"/>
        </w:tabs>
        <w:ind w:left="6120" w:hanging="360"/>
      </w:pPr>
    </w:lvl>
    <w:lvl w:ilvl="7" w:tplc="7966C022" w:tentative="1">
      <w:start w:val="1"/>
      <w:numFmt w:val="decimal"/>
      <w:lvlText w:val="%8."/>
      <w:lvlJc w:val="left"/>
      <w:pPr>
        <w:tabs>
          <w:tab w:val="num" w:pos="6840"/>
        </w:tabs>
        <w:ind w:left="6840" w:hanging="360"/>
      </w:pPr>
    </w:lvl>
    <w:lvl w:ilvl="8" w:tplc="840ADC9C" w:tentative="1">
      <w:start w:val="1"/>
      <w:numFmt w:val="decimal"/>
      <w:lvlText w:val="%9."/>
      <w:lvlJc w:val="left"/>
      <w:pPr>
        <w:tabs>
          <w:tab w:val="num" w:pos="7560"/>
        </w:tabs>
        <w:ind w:left="7560" w:hanging="360"/>
      </w:pPr>
    </w:lvl>
  </w:abstractNum>
  <w:abstractNum w:abstractNumId="15" w15:restartNumberingAfterBreak="0">
    <w:nsid w:val="530C3BEF"/>
    <w:multiLevelType w:val="hybridMultilevel"/>
    <w:tmpl w:val="1736EF5E"/>
    <w:lvl w:ilvl="0" w:tplc="742C1A80">
      <w:start w:val="1"/>
      <w:numFmt w:val="decimal"/>
      <w:lvlText w:val="%1."/>
      <w:lvlJc w:val="left"/>
      <w:pPr>
        <w:tabs>
          <w:tab w:val="num" w:pos="1800"/>
        </w:tabs>
        <w:ind w:left="1800" w:hanging="360"/>
      </w:pPr>
    </w:lvl>
    <w:lvl w:ilvl="1" w:tplc="10EC7542" w:tentative="1">
      <w:start w:val="1"/>
      <w:numFmt w:val="decimal"/>
      <w:lvlText w:val="%2."/>
      <w:lvlJc w:val="left"/>
      <w:pPr>
        <w:tabs>
          <w:tab w:val="num" w:pos="2520"/>
        </w:tabs>
        <w:ind w:left="2520" w:hanging="360"/>
      </w:pPr>
    </w:lvl>
    <w:lvl w:ilvl="2" w:tplc="D7BE3F64" w:tentative="1">
      <w:start w:val="1"/>
      <w:numFmt w:val="decimal"/>
      <w:lvlText w:val="%3."/>
      <w:lvlJc w:val="left"/>
      <w:pPr>
        <w:tabs>
          <w:tab w:val="num" w:pos="3240"/>
        </w:tabs>
        <w:ind w:left="3240" w:hanging="360"/>
      </w:pPr>
    </w:lvl>
    <w:lvl w:ilvl="3" w:tplc="3B80FF18" w:tentative="1">
      <w:start w:val="1"/>
      <w:numFmt w:val="decimal"/>
      <w:lvlText w:val="%4."/>
      <w:lvlJc w:val="left"/>
      <w:pPr>
        <w:tabs>
          <w:tab w:val="num" w:pos="3960"/>
        </w:tabs>
        <w:ind w:left="3960" w:hanging="360"/>
      </w:pPr>
    </w:lvl>
    <w:lvl w:ilvl="4" w:tplc="DA163C5E" w:tentative="1">
      <w:start w:val="1"/>
      <w:numFmt w:val="decimal"/>
      <w:lvlText w:val="%5."/>
      <w:lvlJc w:val="left"/>
      <w:pPr>
        <w:tabs>
          <w:tab w:val="num" w:pos="4680"/>
        </w:tabs>
        <w:ind w:left="4680" w:hanging="360"/>
      </w:pPr>
    </w:lvl>
    <w:lvl w:ilvl="5" w:tplc="4B32277E" w:tentative="1">
      <w:start w:val="1"/>
      <w:numFmt w:val="decimal"/>
      <w:lvlText w:val="%6."/>
      <w:lvlJc w:val="left"/>
      <w:pPr>
        <w:tabs>
          <w:tab w:val="num" w:pos="5400"/>
        </w:tabs>
        <w:ind w:left="5400" w:hanging="360"/>
      </w:pPr>
    </w:lvl>
    <w:lvl w:ilvl="6" w:tplc="671E8AEC" w:tentative="1">
      <w:start w:val="1"/>
      <w:numFmt w:val="decimal"/>
      <w:lvlText w:val="%7."/>
      <w:lvlJc w:val="left"/>
      <w:pPr>
        <w:tabs>
          <w:tab w:val="num" w:pos="6120"/>
        </w:tabs>
        <w:ind w:left="6120" w:hanging="360"/>
      </w:pPr>
    </w:lvl>
    <w:lvl w:ilvl="7" w:tplc="1ABC20D2" w:tentative="1">
      <w:start w:val="1"/>
      <w:numFmt w:val="decimal"/>
      <w:lvlText w:val="%8."/>
      <w:lvlJc w:val="left"/>
      <w:pPr>
        <w:tabs>
          <w:tab w:val="num" w:pos="6840"/>
        </w:tabs>
        <w:ind w:left="6840" w:hanging="360"/>
      </w:pPr>
    </w:lvl>
    <w:lvl w:ilvl="8" w:tplc="6E2AA460" w:tentative="1">
      <w:start w:val="1"/>
      <w:numFmt w:val="decimal"/>
      <w:lvlText w:val="%9."/>
      <w:lvlJc w:val="left"/>
      <w:pPr>
        <w:tabs>
          <w:tab w:val="num" w:pos="7560"/>
        </w:tabs>
        <w:ind w:left="7560" w:hanging="360"/>
      </w:pPr>
    </w:lvl>
  </w:abstractNum>
  <w:abstractNum w:abstractNumId="16" w15:restartNumberingAfterBreak="0">
    <w:nsid w:val="57CC7740"/>
    <w:multiLevelType w:val="hybridMultilevel"/>
    <w:tmpl w:val="25244A82"/>
    <w:lvl w:ilvl="0" w:tplc="D5A25B0C">
      <w:start w:val="1"/>
      <w:numFmt w:val="decimal"/>
      <w:lvlText w:val="%1."/>
      <w:lvlJc w:val="left"/>
      <w:pPr>
        <w:tabs>
          <w:tab w:val="num" w:pos="1800"/>
        </w:tabs>
        <w:ind w:left="1800" w:hanging="360"/>
      </w:pPr>
    </w:lvl>
    <w:lvl w:ilvl="1" w:tplc="3044FFB2" w:tentative="1">
      <w:start w:val="1"/>
      <w:numFmt w:val="decimal"/>
      <w:lvlText w:val="%2."/>
      <w:lvlJc w:val="left"/>
      <w:pPr>
        <w:tabs>
          <w:tab w:val="num" w:pos="2520"/>
        </w:tabs>
        <w:ind w:left="2520" w:hanging="360"/>
      </w:pPr>
    </w:lvl>
    <w:lvl w:ilvl="2" w:tplc="132E4A78" w:tentative="1">
      <w:start w:val="1"/>
      <w:numFmt w:val="decimal"/>
      <w:lvlText w:val="%3."/>
      <w:lvlJc w:val="left"/>
      <w:pPr>
        <w:tabs>
          <w:tab w:val="num" w:pos="3240"/>
        </w:tabs>
        <w:ind w:left="3240" w:hanging="360"/>
      </w:pPr>
    </w:lvl>
    <w:lvl w:ilvl="3" w:tplc="72A0D186" w:tentative="1">
      <w:start w:val="1"/>
      <w:numFmt w:val="decimal"/>
      <w:lvlText w:val="%4."/>
      <w:lvlJc w:val="left"/>
      <w:pPr>
        <w:tabs>
          <w:tab w:val="num" w:pos="3960"/>
        </w:tabs>
        <w:ind w:left="3960" w:hanging="360"/>
      </w:pPr>
    </w:lvl>
    <w:lvl w:ilvl="4" w:tplc="A5148ACE" w:tentative="1">
      <w:start w:val="1"/>
      <w:numFmt w:val="decimal"/>
      <w:lvlText w:val="%5."/>
      <w:lvlJc w:val="left"/>
      <w:pPr>
        <w:tabs>
          <w:tab w:val="num" w:pos="4680"/>
        </w:tabs>
        <w:ind w:left="4680" w:hanging="360"/>
      </w:pPr>
    </w:lvl>
    <w:lvl w:ilvl="5" w:tplc="87CACB64" w:tentative="1">
      <w:start w:val="1"/>
      <w:numFmt w:val="decimal"/>
      <w:lvlText w:val="%6."/>
      <w:lvlJc w:val="left"/>
      <w:pPr>
        <w:tabs>
          <w:tab w:val="num" w:pos="5400"/>
        </w:tabs>
        <w:ind w:left="5400" w:hanging="360"/>
      </w:pPr>
    </w:lvl>
    <w:lvl w:ilvl="6" w:tplc="3392F23C" w:tentative="1">
      <w:start w:val="1"/>
      <w:numFmt w:val="decimal"/>
      <w:lvlText w:val="%7."/>
      <w:lvlJc w:val="left"/>
      <w:pPr>
        <w:tabs>
          <w:tab w:val="num" w:pos="6120"/>
        </w:tabs>
        <w:ind w:left="6120" w:hanging="360"/>
      </w:pPr>
    </w:lvl>
    <w:lvl w:ilvl="7" w:tplc="8324698C" w:tentative="1">
      <w:start w:val="1"/>
      <w:numFmt w:val="decimal"/>
      <w:lvlText w:val="%8."/>
      <w:lvlJc w:val="left"/>
      <w:pPr>
        <w:tabs>
          <w:tab w:val="num" w:pos="6840"/>
        </w:tabs>
        <w:ind w:left="6840" w:hanging="360"/>
      </w:pPr>
    </w:lvl>
    <w:lvl w:ilvl="8" w:tplc="94D4378A" w:tentative="1">
      <w:start w:val="1"/>
      <w:numFmt w:val="decimal"/>
      <w:lvlText w:val="%9."/>
      <w:lvlJc w:val="left"/>
      <w:pPr>
        <w:tabs>
          <w:tab w:val="num" w:pos="7560"/>
        </w:tabs>
        <w:ind w:left="7560" w:hanging="360"/>
      </w:pPr>
    </w:lvl>
  </w:abstractNum>
  <w:abstractNum w:abstractNumId="17" w15:restartNumberingAfterBreak="0">
    <w:nsid w:val="59637F69"/>
    <w:multiLevelType w:val="hybridMultilevel"/>
    <w:tmpl w:val="7CC2A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127A8"/>
    <w:multiLevelType w:val="hybridMultilevel"/>
    <w:tmpl w:val="0B0AFC22"/>
    <w:lvl w:ilvl="0" w:tplc="6ECC16C8">
      <w:start w:val="1"/>
      <w:numFmt w:val="decimal"/>
      <w:lvlText w:val="%1."/>
      <w:lvlJc w:val="left"/>
      <w:pPr>
        <w:tabs>
          <w:tab w:val="num" w:pos="1800"/>
        </w:tabs>
        <w:ind w:left="1800" w:hanging="360"/>
      </w:pPr>
    </w:lvl>
    <w:lvl w:ilvl="1" w:tplc="69D8103E" w:tentative="1">
      <w:start w:val="1"/>
      <w:numFmt w:val="decimal"/>
      <w:lvlText w:val="%2."/>
      <w:lvlJc w:val="left"/>
      <w:pPr>
        <w:tabs>
          <w:tab w:val="num" w:pos="2520"/>
        </w:tabs>
        <w:ind w:left="2520" w:hanging="360"/>
      </w:pPr>
    </w:lvl>
    <w:lvl w:ilvl="2" w:tplc="62527B86" w:tentative="1">
      <w:start w:val="1"/>
      <w:numFmt w:val="decimal"/>
      <w:lvlText w:val="%3."/>
      <w:lvlJc w:val="left"/>
      <w:pPr>
        <w:tabs>
          <w:tab w:val="num" w:pos="3240"/>
        </w:tabs>
        <w:ind w:left="3240" w:hanging="360"/>
      </w:pPr>
    </w:lvl>
    <w:lvl w:ilvl="3" w:tplc="3FC240B0" w:tentative="1">
      <w:start w:val="1"/>
      <w:numFmt w:val="decimal"/>
      <w:lvlText w:val="%4."/>
      <w:lvlJc w:val="left"/>
      <w:pPr>
        <w:tabs>
          <w:tab w:val="num" w:pos="3960"/>
        </w:tabs>
        <w:ind w:left="3960" w:hanging="360"/>
      </w:pPr>
    </w:lvl>
    <w:lvl w:ilvl="4" w:tplc="24820ED8" w:tentative="1">
      <w:start w:val="1"/>
      <w:numFmt w:val="decimal"/>
      <w:lvlText w:val="%5."/>
      <w:lvlJc w:val="left"/>
      <w:pPr>
        <w:tabs>
          <w:tab w:val="num" w:pos="4680"/>
        </w:tabs>
        <w:ind w:left="4680" w:hanging="360"/>
      </w:pPr>
    </w:lvl>
    <w:lvl w:ilvl="5" w:tplc="CC187084" w:tentative="1">
      <w:start w:val="1"/>
      <w:numFmt w:val="decimal"/>
      <w:lvlText w:val="%6."/>
      <w:lvlJc w:val="left"/>
      <w:pPr>
        <w:tabs>
          <w:tab w:val="num" w:pos="5400"/>
        </w:tabs>
        <w:ind w:left="5400" w:hanging="360"/>
      </w:pPr>
    </w:lvl>
    <w:lvl w:ilvl="6" w:tplc="D33646BC" w:tentative="1">
      <w:start w:val="1"/>
      <w:numFmt w:val="decimal"/>
      <w:lvlText w:val="%7."/>
      <w:lvlJc w:val="left"/>
      <w:pPr>
        <w:tabs>
          <w:tab w:val="num" w:pos="6120"/>
        </w:tabs>
        <w:ind w:left="6120" w:hanging="360"/>
      </w:pPr>
    </w:lvl>
    <w:lvl w:ilvl="7" w:tplc="0E787EC0" w:tentative="1">
      <w:start w:val="1"/>
      <w:numFmt w:val="decimal"/>
      <w:lvlText w:val="%8."/>
      <w:lvlJc w:val="left"/>
      <w:pPr>
        <w:tabs>
          <w:tab w:val="num" w:pos="6840"/>
        </w:tabs>
        <w:ind w:left="6840" w:hanging="360"/>
      </w:pPr>
    </w:lvl>
    <w:lvl w:ilvl="8" w:tplc="0C00C092" w:tentative="1">
      <w:start w:val="1"/>
      <w:numFmt w:val="decimal"/>
      <w:lvlText w:val="%9."/>
      <w:lvlJc w:val="left"/>
      <w:pPr>
        <w:tabs>
          <w:tab w:val="num" w:pos="7560"/>
        </w:tabs>
        <w:ind w:left="7560" w:hanging="360"/>
      </w:pPr>
    </w:lvl>
  </w:abstractNum>
  <w:abstractNum w:abstractNumId="19" w15:restartNumberingAfterBreak="0">
    <w:nsid w:val="6C537A7F"/>
    <w:multiLevelType w:val="hybridMultilevel"/>
    <w:tmpl w:val="B236694E"/>
    <w:lvl w:ilvl="0" w:tplc="B43E583E">
      <w:start w:val="1"/>
      <w:numFmt w:val="bullet"/>
      <w:lvlText w:val=""/>
      <w:lvlJc w:val="left"/>
      <w:pPr>
        <w:tabs>
          <w:tab w:val="num" w:pos="1800"/>
        </w:tabs>
        <w:ind w:left="1800" w:hanging="360"/>
      </w:pPr>
      <w:rPr>
        <w:rFonts w:ascii="Symbol" w:hAnsi="Symbol" w:hint="default"/>
      </w:rPr>
    </w:lvl>
    <w:lvl w:ilvl="1" w:tplc="B3240548" w:tentative="1">
      <w:start w:val="1"/>
      <w:numFmt w:val="bullet"/>
      <w:lvlText w:val=""/>
      <w:lvlJc w:val="left"/>
      <w:pPr>
        <w:tabs>
          <w:tab w:val="num" w:pos="2520"/>
        </w:tabs>
        <w:ind w:left="2520" w:hanging="360"/>
      </w:pPr>
      <w:rPr>
        <w:rFonts w:ascii="Symbol" w:hAnsi="Symbol" w:hint="default"/>
      </w:rPr>
    </w:lvl>
    <w:lvl w:ilvl="2" w:tplc="E88AA618" w:tentative="1">
      <w:start w:val="1"/>
      <w:numFmt w:val="bullet"/>
      <w:lvlText w:val=""/>
      <w:lvlJc w:val="left"/>
      <w:pPr>
        <w:tabs>
          <w:tab w:val="num" w:pos="3240"/>
        </w:tabs>
        <w:ind w:left="3240" w:hanging="360"/>
      </w:pPr>
      <w:rPr>
        <w:rFonts w:ascii="Symbol" w:hAnsi="Symbol" w:hint="default"/>
      </w:rPr>
    </w:lvl>
    <w:lvl w:ilvl="3" w:tplc="58B216AA" w:tentative="1">
      <w:start w:val="1"/>
      <w:numFmt w:val="bullet"/>
      <w:lvlText w:val=""/>
      <w:lvlJc w:val="left"/>
      <w:pPr>
        <w:tabs>
          <w:tab w:val="num" w:pos="3960"/>
        </w:tabs>
        <w:ind w:left="3960" w:hanging="360"/>
      </w:pPr>
      <w:rPr>
        <w:rFonts w:ascii="Symbol" w:hAnsi="Symbol" w:hint="default"/>
      </w:rPr>
    </w:lvl>
    <w:lvl w:ilvl="4" w:tplc="F998C504" w:tentative="1">
      <w:start w:val="1"/>
      <w:numFmt w:val="bullet"/>
      <w:lvlText w:val=""/>
      <w:lvlJc w:val="left"/>
      <w:pPr>
        <w:tabs>
          <w:tab w:val="num" w:pos="4680"/>
        </w:tabs>
        <w:ind w:left="4680" w:hanging="360"/>
      </w:pPr>
      <w:rPr>
        <w:rFonts w:ascii="Symbol" w:hAnsi="Symbol" w:hint="default"/>
      </w:rPr>
    </w:lvl>
    <w:lvl w:ilvl="5" w:tplc="D0168A76" w:tentative="1">
      <w:start w:val="1"/>
      <w:numFmt w:val="bullet"/>
      <w:lvlText w:val=""/>
      <w:lvlJc w:val="left"/>
      <w:pPr>
        <w:tabs>
          <w:tab w:val="num" w:pos="5400"/>
        </w:tabs>
        <w:ind w:left="5400" w:hanging="360"/>
      </w:pPr>
      <w:rPr>
        <w:rFonts w:ascii="Symbol" w:hAnsi="Symbol" w:hint="default"/>
      </w:rPr>
    </w:lvl>
    <w:lvl w:ilvl="6" w:tplc="34B0B75E" w:tentative="1">
      <w:start w:val="1"/>
      <w:numFmt w:val="bullet"/>
      <w:lvlText w:val=""/>
      <w:lvlJc w:val="left"/>
      <w:pPr>
        <w:tabs>
          <w:tab w:val="num" w:pos="6120"/>
        </w:tabs>
        <w:ind w:left="6120" w:hanging="360"/>
      </w:pPr>
      <w:rPr>
        <w:rFonts w:ascii="Symbol" w:hAnsi="Symbol" w:hint="default"/>
      </w:rPr>
    </w:lvl>
    <w:lvl w:ilvl="7" w:tplc="37260228" w:tentative="1">
      <w:start w:val="1"/>
      <w:numFmt w:val="bullet"/>
      <w:lvlText w:val=""/>
      <w:lvlJc w:val="left"/>
      <w:pPr>
        <w:tabs>
          <w:tab w:val="num" w:pos="6840"/>
        </w:tabs>
        <w:ind w:left="6840" w:hanging="360"/>
      </w:pPr>
      <w:rPr>
        <w:rFonts w:ascii="Symbol" w:hAnsi="Symbol" w:hint="default"/>
      </w:rPr>
    </w:lvl>
    <w:lvl w:ilvl="8" w:tplc="39BA1C8C" w:tentative="1">
      <w:start w:val="1"/>
      <w:numFmt w:val="bullet"/>
      <w:lvlText w:val=""/>
      <w:lvlJc w:val="left"/>
      <w:pPr>
        <w:tabs>
          <w:tab w:val="num" w:pos="7560"/>
        </w:tabs>
        <w:ind w:left="7560" w:hanging="360"/>
      </w:pPr>
      <w:rPr>
        <w:rFonts w:ascii="Symbol" w:hAnsi="Symbol" w:hint="default"/>
      </w:rPr>
    </w:lvl>
  </w:abstractNum>
  <w:abstractNum w:abstractNumId="20" w15:restartNumberingAfterBreak="0">
    <w:nsid w:val="73654207"/>
    <w:multiLevelType w:val="hybridMultilevel"/>
    <w:tmpl w:val="3DDC794C"/>
    <w:lvl w:ilvl="0" w:tplc="1C5A03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406075028">
    <w:abstractNumId w:val="3"/>
  </w:num>
  <w:num w:numId="2" w16cid:durableId="680396803">
    <w:abstractNumId w:val="12"/>
  </w:num>
  <w:num w:numId="3" w16cid:durableId="1625042672">
    <w:abstractNumId w:val="10"/>
  </w:num>
  <w:num w:numId="4" w16cid:durableId="312755120">
    <w:abstractNumId w:val="11"/>
  </w:num>
  <w:num w:numId="5" w16cid:durableId="444270670">
    <w:abstractNumId w:val="2"/>
  </w:num>
  <w:num w:numId="6" w16cid:durableId="302318469">
    <w:abstractNumId w:val="7"/>
  </w:num>
  <w:num w:numId="7" w16cid:durableId="704982844">
    <w:abstractNumId w:val="1"/>
  </w:num>
  <w:num w:numId="8" w16cid:durableId="1058241778">
    <w:abstractNumId w:val="16"/>
  </w:num>
  <w:num w:numId="9" w16cid:durableId="315844328">
    <w:abstractNumId w:val="14"/>
  </w:num>
  <w:num w:numId="10" w16cid:durableId="643314686">
    <w:abstractNumId w:val="9"/>
  </w:num>
  <w:num w:numId="11" w16cid:durableId="811561932">
    <w:abstractNumId w:val="18"/>
  </w:num>
  <w:num w:numId="12" w16cid:durableId="1831362614">
    <w:abstractNumId w:val="15"/>
  </w:num>
  <w:num w:numId="13" w16cid:durableId="2089575286">
    <w:abstractNumId w:val="6"/>
  </w:num>
  <w:num w:numId="14" w16cid:durableId="817963974">
    <w:abstractNumId w:val="19"/>
  </w:num>
  <w:num w:numId="15" w16cid:durableId="1324242413">
    <w:abstractNumId w:val="4"/>
  </w:num>
  <w:num w:numId="16" w16cid:durableId="1081292652">
    <w:abstractNumId w:val="5"/>
  </w:num>
  <w:num w:numId="17" w16cid:durableId="760298965">
    <w:abstractNumId w:val="17"/>
  </w:num>
  <w:num w:numId="18" w16cid:durableId="1690522162">
    <w:abstractNumId w:val="0"/>
  </w:num>
  <w:num w:numId="19" w16cid:durableId="584462908">
    <w:abstractNumId w:val="8"/>
  </w:num>
  <w:num w:numId="20" w16cid:durableId="1689139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8770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4106508">
    <w:abstractNumId w:val="20"/>
  </w:num>
  <w:num w:numId="23" w16cid:durableId="19823469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9"/>
    <w:rsid w:val="00012653"/>
    <w:rsid w:val="00035FF9"/>
    <w:rsid w:val="00040A1F"/>
    <w:rsid w:val="00064131"/>
    <w:rsid w:val="000B2A73"/>
    <w:rsid w:val="00110832"/>
    <w:rsid w:val="001244C7"/>
    <w:rsid w:val="00137C66"/>
    <w:rsid w:val="001A3E92"/>
    <w:rsid w:val="001C73A8"/>
    <w:rsid w:val="0023693A"/>
    <w:rsid w:val="00261C1A"/>
    <w:rsid w:val="00280A1C"/>
    <w:rsid w:val="0032650E"/>
    <w:rsid w:val="00351B48"/>
    <w:rsid w:val="003B25A3"/>
    <w:rsid w:val="00417444"/>
    <w:rsid w:val="00421F01"/>
    <w:rsid w:val="004401D9"/>
    <w:rsid w:val="004439F5"/>
    <w:rsid w:val="004D112C"/>
    <w:rsid w:val="004D7F81"/>
    <w:rsid w:val="005332B7"/>
    <w:rsid w:val="005464BE"/>
    <w:rsid w:val="005838AE"/>
    <w:rsid w:val="005A1631"/>
    <w:rsid w:val="00633C30"/>
    <w:rsid w:val="006369AA"/>
    <w:rsid w:val="006656B0"/>
    <w:rsid w:val="00675C63"/>
    <w:rsid w:val="00690762"/>
    <w:rsid w:val="006C37A7"/>
    <w:rsid w:val="006C3955"/>
    <w:rsid w:val="00701EEF"/>
    <w:rsid w:val="007220AC"/>
    <w:rsid w:val="007445B9"/>
    <w:rsid w:val="00746A84"/>
    <w:rsid w:val="00794E95"/>
    <w:rsid w:val="00805951"/>
    <w:rsid w:val="00807E8A"/>
    <w:rsid w:val="008272C4"/>
    <w:rsid w:val="00857EAC"/>
    <w:rsid w:val="00861578"/>
    <w:rsid w:val="0087347F"/>
    <w:rsid w:val="00896710"/>
    <w:rsid w:val="008B5E78"/>
    <w:rsid w:val="008D04D7"/>
    <w:rsid w:val="008E3AC3"/>
    <w:rsid w:val="008E5E6F"/>
    <w:rsid w:val="009A5F25"/>
    <w:rsid w:val="009B1BC0"/>
    <w:rsid w:val="009F28B3"/>
    <w:rsid w:val="00A1619E"/>
    <w:rsid w:val="00A229EC"/>
    <w:rsid w:val="00B2790D"/>
    <w:rsid w:val="00B27C88"/>
    <w:rsid w:val="00B72FEE"/>
    <w:rsid w:val="00B9507B"/>
    <w:rsid w:val="00BA369A"/>
    <w:rsid w:val="00BB2FAB"/>
    <w:rsid w:val="00BD4049"/>
    <w:rsid w:val="00BF612C"/>
    <w:rsid w:val="00C12752"/>
    <w:rsid w:val="00C23756"/>
    <w:rsid w:val="00C2553E"/>
    <w:rsid w:val="00CB24BC"/>
    <w:rsid w:val="00D03B33"/>
    <w:rsid w:val="00D15A09"/>
    <w:rsid w:val="00D54003"/>
    <w:rsid w:val="00D726C7"/>
    <w:rsid w:val="00DF2DA1"/>
    <w:rsid w:val="00E32F6C"/>
    <w:rsid w:val="00E3560D"/>
    <w:rsid w:val="00E52A01"/>
    <w:rsid w:val="00E561CC"/>
    <w:rsid w:val="00E84C22"/>
    <w:rsid w:val="00EC5AB4"/>
    <w:rsid w:val="00ED2578"/>
    <w:rsid w:val="00F06369"/>
    <w:rsid w:val="00F06D4A"/>
    <w:rsid w:val="00F47410"/>
    <w:rsid w:val="00FD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E0AB1"/>
  <w15:chartTrackingRefBased/>
  <w15:docId w15:val="{BF1AF616-C797-458F-AA92-A87957A1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07B"/>
    <w:rPr>
      <w:sz w:val="24"/>
    </w:rPr>
  </w:style>
  <w:style w:type="paragraph" w:styleId="Heading1">
    <w:name w:val="heading 1"/>
    <w:basedOn w:val="Normal"/>
    <w:next w:val="Normal"/>
    <w:link w:val="Heading1Char"/>
    <w:uiPriority w:val="9"/>
    <w:qFormat/>
    <w:rsid w:val="00035FF9"/>
    <w:pPr>
      <w:keepNext/>
      <w:keepLines/>
      <w:numPr>
        <w:numId w:val="15"/>
      </w:numPr>
      <w:spacing w:before="240" w:after="0"/>
      <w:outlineLvl w:val="0"/>
    </w:pPr>
    <w:rPr>
      <w:rFonts w:asciiTheme="majorHAnsi" w:eastAsiaTheme="majorEastAsia" w:hAnsiTheme="majorHAnsi" w:cstheme="majorBidi"/>
      <w:color w:val="00005D" w:themeColor="accent1" w:themeShade="BF"/>
      <w:sz w:val="32"/>
      <w:szCs w:val="32"/>
    </w:rPr>
  </w:style>
  <w:style w:type="paragraph" w:styleId="Heading2">
    <w:name w:val="heading 2"/>
    <w:basedOn w:val="Normal"/>
    <w:next w:val="Normal"/>
    <w:link w:val="Heading2Char"/>
    <w:uiPriority w:val="9"/>
    <w:unhideWhenUsed/>
    <w:qFormat/>
    <w:rsid w:val="00035FF9"/>
    <w:pPr>
      <w:keepNext/>
      <w:keepLines/>
      <w:numPr>
        <w:ilvl w:val="1"/>
        <w:numId w:val="15"/>
      </w:numPr>
      <w:spacing w:before="40" w:after="0"/>
      <w:outlineLvl w:val="1"/>
    </w:pPr>
    <w:rPr>
      <w:rFonts w:asciiTheme="majorHAnsi" w:eastAsiaTheme="majorEastAsia" w:hAnsiTheme="majorHAnsi" w:cstheme="majorBidi"/>
      <w:color w:val="00005D" w:themeColor="accent1" w:themeShade="BF"/>
      <w:sz w:val="26"/>
      <w:szCs w:val="26"/>
    </w:rPr>
  </w:style>
  <w:style w:type="paragraph" w:styleId="Heading3">
    <w:name w:val="heading 3"/>
    <w:basedOn w:val="Normal"/>
    <w:next w:val="Normal"/>
    <w:link w:val="Heading3Char"/>
    <w:uiPriority w:val="9"/>
    <w:unhideWhenUsed/>
    <w:qFormat/>
    <w:rsid w:val="00035FF9"/>
    <w:pPr>
      <w:keepNext/>
      <w:keepLines/>
      <w:numPr>
        <w:ilvl w:val="2"/>
        <w:numId w:val="15"/>
      </w:numPr>
      <w:spacing w:before="40" w:after="0"/>
      <w:outlineLvl w:val="2"/>
    </w:pPr>
    <w:rPr>
      <w:rFonts w:asciiTheme="majorHAnsi" w:eastAsiaTheme="majorEastAsia" w:hAnsiTheme="majorHAnsi" w:cstheme="majorBidi"/>
      <w:color w:val="00003E" w:themeColor="accent1" w:themeShade="7F"/>
      <w:szCs w:val="24"/>
    </w:rPr>
  </w:style>
  <w:style w:type="paragraph" w:styleId="Heading4">
    <w:name w:val="heading 4"/>
    <w:basedOn w:val="Normal"/>
    <w:next w:val="Normal"/>
    <w:link w:val="Heading4Char"/>
    <w:uiPriority w:val="9"/>
    <w:unhideWhenUsed/>
    <w:qFormat/>
    <w:rsid w:val="00035FF9"/>
    <w:pPr>
      <w:keepNext/>
      <w:keepLines/>
      <w:numPr>
        <w:ilvl w:val="3"/>
        <w:numId w:val="15"/>
      </w:numPr>
      <w:spacing w:before="40" w:after="0"/>
      <w:outlineLvl w:val="3"/>
    </w:pPr>
    <w:rPr>
      <w:rFonts w:asciiTheme="majorHAnsi" w:eastAsiaTheme="majorEastAsia" w:hAnsiTheme="majorHAnsi" w:cstheme="majorBidi"/>
      <w:i/>
      <w:iCs/>
      <w:color w:val="00005D" w:themeColor="accent1" w:themeShade="BF"/>
    </w:rPr>
  </w:style>
  <w:style w:type="paragraph" w:styleId="Heading5">
    <w:name w:val="heading 5"/>
    <w:basedOn w:val="Normal"/>
    <w:next w:val="Normal"/>
    <w:link w:val="Heading5Char"/>
    <w:uiPriority w:val="9"/>
    <w:semiHidden/>
    <w:unhideWhenUsed/>
    <w:qFormat/>
    <w:rsid w:val="00035FF9"/>
    <w:pPr>
      <w:keepNext/>
      <w:keepLines/>
      <w:numPr>
        <w:ilvl w:val="4"/>
        <w:numId w:val="15"/>
      </w:numPr>
      <w:spacing w:before="40" w:after="0"/>
      <w:outlineLvl w:val="4"/>
    </w:pPr>
    <w:rPr>
      <w:rFonts w:asciiTheme="majorHAnsi" w:eastAsiaTheme="majorEastAsia" w:hAnsiTheme="majorHAnsi" w:cstheme="majorBidi"/>
      <w:color w:val="00005D" w:themeColor="accent1" w:themeShade="BF"/>
    </w:rPr>
  </w:style>
  <w:style w:type="paragraph" w:styleId="Heading6">
    <w:name w:val="heading 6"/>
    <w:basedOn w:val="Normal"/>
    <w:next w:val="Normal"/>
    <w:link w:val="Heading6Char"/>
    <w:uiPriority w:val="9"/>
    <w:semiHidden/>
    <w:unhideWhenUsed/>
    <w:qFormat/>
    <w:rsid w:val="00035FF9"/>
    <w:pPr>
      <w:keepNext/>
      <w:keepLines/>
      <w:numPr>
        <w:ilvl w:val="5"/>
        <w:numId w:val="15"/>
      </w:numPr>
      <w:spacing w:before="40" w:after="0"/>
      <w:outlineLvl w:val="5"/>
    </w:pPr>
    <w:rPr>
      <w:rFonts w:asciiTheme="majorHAnsi" w:eastAsiaTheme="majorEastAsia" w:hAnsiTheme="majorHAnsi" w:cstheme="majorBidi"/>
      <w:color w:val="00003E" w:themeColor="accent1" w:themeShade="7F"/>
    </w:rPr>
  </w:style>
  <w:style w:type="paragraph" w:styleId="Heading7">
    <w:name w:val="heading 7"/>
    <w:basedOn w:val="Normal"/>
    <w:next w:val="Normal"/>
    <w:link w:val="Heading7Char"/>
    <w:uiPriority w:val="9"/>
    <w:semiHidden/>
    <w:unhideWhenUsed/>
    <w:qFormat/>
    <w:rsid w:val="00035FF9"/>
    <w:pPr>
      <w:keepNext/>
      <w:keepLines/>
      <w:numPr>
        <w:ilvl w:val="6"/>
        <w:numId w:val="15"/>
      </w:numPr>
      <w:spacing w:before="40" w:after="0"/>
      <w:outlineLvl w:val="6"/>
    </w:pPr>
    <w:rPr>
      <w:rFonts w:asciiTheme="majorHAnsi" w:eastAsiaTheme="majorEastAsia" w:hAnsiTheme="majorHAnsi" w:cstheme="majorBidi"/>
      <w:i/>
      <w:iCs/>
      <w:color w:val="00003E" w:themeColor="accent1" w:themeShade="7F"/>
    </w:rPr>
  </w:style>
  <w:style w:type="paragraph" w:styleId="Heading8">
    <w:name w:val="heading 8"/>
    <w:basedOn w:val="Normal"/>
    <w:next w:val="Normal"/>
    <w:link w:val="Heading8Char"/>
    <w:uiPriority w:val="9"/>
    <w:semiHidden/>
    <w:unhideWhenUsed/>
    <w:qFormat/>
    <w:rsid w:val="00035FF9"/>
    <w:pPr>
      <w:keepNext/>
      <w:keepLines/>
      <w:numPr>
        <w:ilvl w:val="7"/>
        <w:numId w:val="15"/>
      </w:numPr>
      <w:spacing w:before="40" w:after="0"/>
      <w:outlineLvl w:val="7"/>
    </w:pPr>
    <w:rPr>
      <w:rFonts w:asciiTheme="majorHAnsi" w:eastAsiaTheme="majorEastAsia" w:hAnsiTheme="majorHAnsi" w:cstheme="majorBidi"/>
      <w:color w:val="1A3B6A" w:themeColor="text1" w:themeTint="D8"/>
      <w:sz w:val="21"/>
      <w:szCs w:val="21"/>
    </w:rPr>
  </w:style>
  <w:style w:type="paragraph" w:styleId="Heading9">
    <w:name w:val="heading 9"/>
    <w:basedOn w:val="Normal"/>
    <w:next w:val="Normal"/>
    <w:link w:val="Heading9Char"/>
    <w:uiPriority w:val="9"/>
    <w:semiHidden/>
    <w:unhideWhenUsed/>
    <w:qFormat/>
    <w:rsid w:val="00035FF9"/>
    <w:pPr>
      <w:keepNext/>
      <w:keepLines/>
      <w:numPr>
        <w:ilvl w:val="8"/>
        <w:numId w:val="15"/>
      </w:numPr>
      <w:spacing w:before="40" w:after="0"/>
      <w:outlineLvl w:val="8"/>
    </w:pPr>
    <w:rPr>
      <w:rFonts w:asciiTheme="majorHAnsi" w:eastAsiaTheme="majorEastAsia" w:hAnsiTheme="majorHAnsi" w:cstheme="majorBidi"/>
      <w:i/>
      <w:iCs/>
      <w:color w:val="1A3B6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F9"/>
    <w:pPr>
      <w:ind w:left="720"/>
      <w:contextualSpacing/>
    </w:pPr>
  </w:style>
  <w:style w:type="character" w:customStyle="1" w:styleId="Heading1Char">
    <w:name w:val="Heading 1 Char"/>
    <w:basedOn w:val="DefaultParagraphFont"/>
    <w:link w:val="Heading1"/>
    <w:uiPriority w:val="9"/>
    <w:rsid w:val="00035FF9"/>
    <w:rPr>
      <w:rFonts w:asciiTheme="majorHAnsi" w:eastAsiaTheme="majorEastAsia" w:hAnsiTheme="majorHAnsi" w:cstheme="majorBidi"/>
      <w:color w:val="00005D" w:themeColor="accent1" w:themeShade="BF"/>
      <w:sz w:val="32"/>
      <w:szCs w:val="32"/>
    </w:rPr>
  </w:style>
  <w:style w:type="character" w:customStyle="1" w:styleId="Heading2Char">
    <w:name w:val="Heading 2 Char"/>
    <w:basedOn w:val="DefaultParagraphFont"/>
    <w:link w:val="Heading2"/>
    <w:uiPriority w:val="9"/>
    <w:rsid w:val="00035FF9"/>
    <w:rPr>
      <w:rFonts w:asciiTheme="majorHAnsi" w:eastAsiaTheme="majorEastAsia" w:hAnsiTheme="majorHAnsi" w:cstheme="majorBidi"/>
      <w:color w:val="00005D" w:themeColor="accent1" w:themeShade="BF"/>
      <w:sz w:val="26"/>
      <w:szCs w:val="26"/>
    </w:rPr>
  </w:style>
  <w:style w:type="character" w:customStyle="1" w:styleId="Heading3Char">
    <w:name w:val="Heading 3 Char"/>
    <w:basedOn w:val="DefaultParagraphFont"/>
    <w:link w:val="Heading3"/>
    <w:uiPriority w:val="9"/>
    <w:rsid w:val="00035FF9"/>
    <w:rPr>
      <w:rFonts w:asciiTheme="majorHAnsi" w:eastAsiaTheme="majorEastAsia" w:hAnsiTheme="majorHAnsi" w:cstheme="majorBidi"/>
      <w:color w:val="00003E" w:themeColor="accent1" w:themeShade="7F"/>
      <w:sz w:val="24"/>
      <w:szCs w:val="24"/>
    </w:rPr>
  </w:style>
  <w:style w:type="character" w:customStyle="1" w:styleId="Heading4Char">
    <w:name w:val="Heading 4 Char"/>
    <w:basedOn w:val="DefaultParagraphFont"/>
    <w:link w:val="Heading4"/>
    <w:uiPriority w:val="9"/>
    <w:rsid w:val="00035FF9"/>
    <w:rPr>
      <w:rFonts w:asciiTheme="majorHAnsi" w:eastAsiaTheme="majorEastAsia" w:hAnsiTheme="majorHAnsi" w:cstheme="majorBidi"/>
      <w:i/>
      <w:iCs/>
      <w:color w:val="00005D" w:themeColor="accent1" w:themeShade="BF"/>
    </w:rPr>
  </w:style>
  <w:style w:type="character" w:customStyle="1" w:styleId="Heading5Char">
    <w:name w:val="Heading 5 Char"/>
    <w:basedOn w:val="DefaultParagraphFont"/>
    <w:link w:val="Heading5"/>
    <w:uiPriority w:val="9"/>
    <w:semiHidden/>
    <w:rsid w:val="00035FF9"/>
    <w:rPr>
      <w:rFonts w:asciiTheme="majorHAnsi" w:eastAsiaTheme="majorEastAsia" w:hAnsiTheme="majorHAnsi" w:cstheme="majorBidi"/>
      <w:color w:val="00005D" w:themeColor="accent1" w:themeShade="BF"/>
    </w:rPr>
  </w:style>
  <w:style w:type="character" w:customStyle="1" w:styleId="Heading6Char">
    <w:name w:val="Heading 6 Char"/>
    <w:basedOn w:val="DefaultParagraphFont"/>
    <w:link w:val="Heading6"/>
    <w:uiPriority w:val="9"/>
    <w:semiHidden/>
    <w:rsid w:val="00035FF9"/>
    <w:rPr>
      <w:rFonts w:asciiTheme="majorHAnsi" w:eastAsiaTheme="majorEastAsia" w:hAnsiTheme="majorHAnsi" w:cstheme="majorBidi"/>
      <w:color w:val="00003E" w:themeColor="accent1" w:themeShade="7F"/>
    </w:rPr>
  </w:style>
  <w:style w:type="character" w:customStyle="1" w:styleId="Heading7Char">
    <w:name w:val="Heading 7 Char"/>
    <w:basedOn w:val="DefaultParagraphFont"/>
    <w:link w:val="Heading7"/>
    <w:uiPriority w:val="9"/>
    <w:semiHidden/>
    <w:rsid w:val="00035FF9"/>
    <w:rPr>
      <w:rFonts w:asciiTheme="majorHAnsi" w:eastAsiaTheme="majorEastAsia" w:hAnsiTheme="majorHAnsi" w:cstheme="majorBidi"/>
      <w:i/>
      <w:iCs/>
      <w:color w:val="00003E" w:themeColor="accent1" w:themeShade="7F"/>
    </w:rPr>
  </w:style>
  <w:style w:type="character" w:customStyle="1" w:styleId="Heading8Char">
    <w:name w:val="Heading 8 Char"/>
    <w:basedOn w:val="DefaultParagraphFont"/>
    <w:link w:val="Heading8"/>
    <w:uiPriority w:val="9"/>
    <w:semiHidden/>
    <w:rsid w:val="00035FF9"/>
    <w:rPr>
      <w:rFonts w:asciiTheme="majorHAnsi" w:eastAsiaTheme="majorEastAsia" w:hAnsiTheme="majorHAnsi" w:cstheme="majorBidi"/>
      <w:color w:val="1A3B6A" w:themeColor="text1" w:themeTint="D8"/>
      <w:sz w:val="21"/>
      <w:szCs w:val="21"/>
    </w:rPr>
  </w:style>
  <w:style w:type="character" w:customStyle="1" w:styleId="Heading9Char">
    <w:name w:val="Heading 9 Char"/>
    <w:basedOn w:val="DefaultParagraphFont"/>
    <w:link w:val="Heading9"/>
    <w:uiPriority w:val="9"/>
    <w:semiHidden/>
    <w:rsid w:val="00035FF9"/>
    <w:rPr>
      <w:rFonts w:asciiTheme="majorHAnsi" w:eastAsiaTheme="majorEastAsia" w:hAnsiTheme="majorHAnsi" w:cstheme="majorBidi"/>
      <w:i/>
      <w:iCs/>
      <w:color w:val="1A3B6A" w:themeColor="text1" w:themeTint="D8"/>
      <w:sz w:val="21"/>
      <w:szCs w:val="21"/>
    </w:rPr>
  </w:style>
  <w:style w:type="paragraph" w:styleId="Title">
    <w:name w:val="Title"/>
    <w:basedOn w:val="Normal"/>
    <w:next w:val="Normal"/>
    <w:link w:val="TitleChar"/>
    <w:uiPriority w:val="10"/>
    <w:qFormat/>
    <w:rsid w:val="00E561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1C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33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2B7"/>
    <w:rPr>
      <w:sz w:val="24"/>
    </w:rPr>
  </w:style>
  <w:style w:type="paragraph" w:styleId="Footer">
    <w:name w:val="footer"/>
    <w:basedOn w:val="Normal"/>
    <w:link w:val="FooterChar"/>
    <w:uiPriority w:val="99"/>
    <w:unhideWhenUsed/>
    <w:rsid w:val="00533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2B7"/>
    <w:rPr>
      <w:sz w:val="24"/>
    </w:rPr>
  </w:style>
  <w:style w:type="paragraph" w:styleId="Revision">
    <w:name w:val="Revision"/>
    <w:hidden/>
    <w:uiPriority w:val="99"/>
    <w:semiHidden/>
    <w:rsid w:val="00675C63"/>
    <w:pPr>
      <w:spacing w:after="0" w:line="240" w:lineRule="auto"/>
    </w:pPr>
    <w:rPr>
      <w:sz w:val="24"/>
    </w:rPr>
  </w:style>
  <w:style w:type="character" w:styleId="CommentReference">
    <w:name w:val="annotation reference"/>
    <w:basedOn w:val="DefaultParagraphFont"/>
    <w:uiPriority w:val="99"/>
    <w:semiHidden/>
    <w:unhideWhenUsed/>
    <w:rsid w:val="009A5F25"/>
    <w:rPr>
      <w:sz w:val="16"/>
      <w:szCs w:val="16"/>
    </w:rPr>
  </w:style>
  <w:style w:type="paragraph" w:styleId="CommentText">
    <w:name w:val="annotation text"/>
    <w:basedOn w:val="Normal"/>
    <w:link w:val="CommentTextChar"/>
    <w:uiPriority w:val="99"/>
    <w:semiHidden/>
    <w:unhideWhenUsed/>
    <w:rsid w:val="009A5F25"/>
    <w:pPr>
      <w:spacing w:line="240" w:lineRule="auto"/>
    </w:pPr>
    <w:rPr>
      <w:sz w:val="20"/>
      <w:szCs w:val="20"/>
    </w:rPr>
  </w:style>
  <w:style w:type="character" w:customStyle="1" w:styleId="CommentTextChar">
    <w:name w:val="Comment Text Char"/>
    <w:basedOn w:val="DefaultParagraphFont"/>
    <w:link w:val="CommentText"/>
    <w:uiPriority w:val="99"/>
    <w:semiHidden/>
    <w:rsid w:val="009A5F25"/>
    <w:rPr>
      <w:sz w:val="20"/>
      <w:szCs w:val="20"/>
    </w:rPr>
  </w:style>
  <w:style w:type="paragraph" w:styleId="CommentSubject">
    <w:name w:val="annotation subject"/>
    <w:basedOn w:val="CommentText"/>
    <w:next w:val="CommentText"/>
    <w:link w:val="CommentSubjectChar"/>
    <w:uiPriority w:val="99"/>
    <w:semiHidden/>
    <w:unhideWhenUsed/>
    <w:rsid w:val="009A5F25"/>
    <w:rPr>
      <w:b/>
      <w:bCs/>
    </w:rPr>
  </w:style>
  <w:style w:type="character" w:customStyle="1" w:styleId="CommentSubjectChar">
    <w:name w:val="Comment Subject Char"/>
    <w:basedOn w:val="CommentTextChar"/>
    <w:link w:val="CommentSubject"/>
    <w:uiPriority w:val="99"/>
    <w:semiHidden/>
    <w:rsid w:val="009A5F25"/>
    <w:rPr>
      <w:b/>
      <w:bCs/>
      <w:sz w:val="20"/>
      <w:szCs w:val="20"/>
    </w:rPr>
  </w:style>
  <w:style w:type="paragraph" w:styleId="BalloonText">
    <w:name w:val="Balloon Text"/>
    <w:basedOn w:val="Normal"/>
    <w:link w:val="BalloonTextChar"/>
    <w:uiPriority w:val="99"/>
    <w:semiHidden/>
    <w:unhideWhenUsed/>
    <w:rsid w:val="00064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0076">
      <w:bodyDiv w:val="1"/>
      <w:marLeft w:val="0"/>
      <w:marRight w:val="0"/>
      <w:marTop w:val="0"/>
      <w:marBottom w:val="0"/>
      <w:divBdr>
        <w:top w:val="none" w:sz="0" w:space="0" w:color="auto"/>
        <w:left w:val="none" w:sz="0" w:space="0" w:color="auto"/>
        <w:bottom w:val="none" w:sz="0" w:space="0" w:color="auto"/>
        <w:right w:val="none" w:sz="0" w:space="0" w:color="auto"/>
      </w:divBdr>
      <w:divsChild>
        <w:div w:id="1231115655">
          <w:marLeft w:val="547"/>
          <w:marRight w:val="864"/>
          <w:marTop w:val="0"/>
          <w:marBottom w:val="240"/>
          <w:divBdr>
            <w:top w:val="none" w:sz="0" w:space="0" w:color="auto"/>
            <w:left w:val="none" w:sz="0" w:space="0" w:color="auto"/>
            <w:bottom w:val="none" w:sz="0" w:space="0" w:color="auto"/>
            <w:right w:val="none" w:sz="0" w:space="0" w:color="auto"/>
          </w:divBdr>
        </w:div>
        <w:div w:id="1773626709">
          <w:marLeft w:val="1166"/>
          <w:marRight w:val="835"/>
          <w:marTop w:val="0"/>
          <w:marBottom w:val="0"/>
          <w:divBdr>
            <w:top w:val="none" w:sz="0" w:space="0" w:color="auto"/>
            <w:left w:val="none" w:sz="0" w:space="0" w:color="auto"/>
            <w:bottom w:val="none" w:sz="0" w:space="0" w:color="auto"/>
            <w:right w:val="none" w:sz="0" w:space="0" w:color="auto"/>
          </w:divBdr>
        </w:div>
        <w:div w:id="20475980">
          <w:marLeft w:val="1166"/>
          <w:marRight w:val="893"/>
          <w:marTop w:val="0"/>
          <w:marBottom w:val="0"/>
          <w:divBdr>
            <w:top w:val="none" w:sz="0" w:space="0" w:color="auto"/>
            <w:left w:val="none" w:sz="0" w:space="0" w:color="auto"/>
            <w:bottom w:val="none" w:sz="0" w:space="0" w:color="auto"/>
            <w:right w:val="none" w:sz="0" w:space="0" w:color="auto"/>
          </w:divBdr>
        </w:div>
        <w:div w:id="1685741814">
          <w:marLeft w:val="1166"/>
          <w:marRight w:val="1094"/>
          <w:marTop w:val="0"/>
          <w:marBottom w:val="0"/>
          <w:divBdr>
            <w:top w:val="none" w:sz="0" w:space="0" w:color="auto"/>
            <w:left w:val="none" w:sz="0" w:space="0" w:color="auto"/>
            <w:bottom w:val="none" w:sz="0" w:space="0" w:color="auto"/>
            <w:right w:val="none" w:sz="0" w:space="0" w:color="auto"/>
          </w:divBdr>
        </w:div>
        <w:div w:id="1571190509">
          <w:marLeft w:val="1166"/>
          <w:marRight w:val="1267"/>
          <w:marTop w:val="0"/>
          <w:marBottom w:val="240"/>
          <w:divBdr>
            <w:top w:val="none" w:sz="0" w:space="0" w:color="auto"/>
            <w:left w:val="none" w:sz="0" w:space="0" w:color="auto"/>
            <w:bottom w:val="none" w:sz="0" w:space="0" w:color="auto"/>
            <w:right w:val="none" w:sz="0" w:space="0" w:color="auto"/>
          </w:divBdr>
        </w:div>
        <w:div w:id="325595048">
          <w:marLeft w:val="547"/>
          <w:marRight w:val="864"/>
          <w:marTop w:val="0"/>
          <w:marBottom w:val="240"/>
          <w:divBdr>
            <w:top w:val="none" w:sz="0" w:space="0" w:color="auto"/>
            <w:left w:val="none" w:sz="0" w:space="0" w:color="auto"/>
            <w:bottom w:val="none" w:sz="0" w:space="0" w:color="auto"/>
            <w:right w:val="none" w:sz="0" w:space="0" w:color="auto"/>
          </w:divBdr>
        </w:div>
        <w:div w:id="1232230738">
          <w:marLeft w:val="547"/>
          <w:marRight w:val="0"/>
          <w:marTop w:val="0"/>
          <w:marBottom w:val="240"/>
          <w:divBdr>
            <w:top w:val="none" w:sz="0" w:space="0" w:color="auto"/>
            <w:left w:val="none" w:sz="0" w:space="0" w:color="auto"/>
            <w:bottom w:val="none" w:sz="0" w:space="0" w:color="auto"/>
            <w:right w:val="none" w:sz="0" w:space="0" w:color="auto"/>
          </w:divBdr>
        </w:div>
        <w:div w:id="1826622690">
          <w:marLeft w:val="547"/>
          <w:marRight w:val="0"/>
          <w:marTop w:val="0"/>
          <w:marBottom w:val="240"/>
          <w:divBdr>
            <w:top w:val="none" w:sz="0" w:space="0" w:color="auto"/>
            <w:left w:val="none" w:sz="0" w:space="0" w:color="auto"/>
            <w:bottom w:val="none" w:sz="0" w:space="0" w:color="auto"/>
            <w:right w:val="none" w:sz="0" w:space="0" w:color="auto"/>
          </w:divBdr>
        </w:div>
        <w:div w:id="112749244">
          <w:marLeft w:val="547"/>
          <w:marRight w:val="0"/>
          <w:marTop w:val="0"/>
          <w:marBottom w:val="0"/>
          <w:divBdr>
            <w:top w:val="none" w:sz="0" w:space="0" w:color="auto"/>
            <w:left w:val="none" w:sz="0" w:space="0" w:color="auto"/>
            <w:bottom w:val="none" w:sz="0" w:space="0" w:color="auto"/>
            <w:right w:val="none" w:sz="0" w:space="0" w:color="auto"/>
          </w:divBdr>
        </w:div>
        <w:div w:id="435247519">
          <w:marLeft w:val="547"/>
          <w:marRight w:val="0"/>
          <w:marTop w:val="0"/>
          <w:marBottom w:val="0"/>
          <w:divBdr>
            <w:top w:val="none" w:sz="0" w:space="0" w:color="auto"/>
            <w:left w:val="none" w:sz="0" w:space="0" w:color="auto"/>
            <w:bottom w:val="none" w:sz="0" w:space="0" w:color="auto"/>
            <w:right w:val="none" w:sz="0" w:space="0" w:color="auto"/>
          </w:divBdr>
        </w:div>
        <w:div w:id="595748324">
          <w:marLeft w:val="547"/>
          <w:marRight w:val="0"/>
          <w:marTop w:val="0"/>
          <w:marBottom w:val="0"/>
          <w:divBdr>
            <w:top w:val="none" w:sz="0" w:space="0" w:color="auto"/>
            <w:left w:val="none" w:sz="0" w:space="0" w:color="auto"/>
            <w:bottom w:val="none" w:sz="0" w:space="0" w:color="auto"/>
            <w:right w:val="none" w:sz="0" w:space="0" w:color="auto"/>
          </w:divBdr>
        </w:div>
        <w:div w:id="1444575028">
          <w:marLeft w:val="547"/>
          <w:marRight w:val="0"/>
          <w:marTop w:val="0"/>
          <w:marBottom w:val="240"/>
          <w:divBdr>
            <w:top w:val="none" w:sz="0" w:space="0" w:color="auto"/>
            <w:left w:val="none" w:sz="0" w:space="0" w:color="auto"/>
            <w:bottom w:val="none" w:sz="0" w:space="0" w:color="auto"/>
            <w:right w:val="none" w:sz="0" w:space="0" w:color="auto"/>
          </w:divBdr>
        </w:div>
        <w:div w:id="1243880990">
          <w:marLeft w:val="547"/>
          <w:marRight w:val="0"/>
          <w:marTop w:val="0"/>
          <w:marBottom w:val="240"/>
          <w:divBdr>
            <w:top w:val="none" w:sz="0" w:space="0" w:color="auto"/>
            <w:left w:val="none" w:sz="0" w:space="0" w:color="auto"/>
            <w:bottom w:val="none" w:sz="0" w:space="0" w:color="auto"/>
            <w:right w:val="none" w:sz="0" w:space="0" w:color="auto"/>
          </w:divBdr>
        </w:div>
        <w:div w:id="252278959">
          <w:marLeft w:val="547"/>
          <w:marRight w:val="101"/>
          <w:marTop w:val="0"/>
          <w:marBottom w:val="240"/>
          <w:divBdr>
            <w:top w:val="none" w:sz="0" w:space="0" w:color="auto"/>
            <w:left w:val="none" w:sz="0" w:space="0" w:color="auto"/>
            <w:bottom w:val="none" w:sz="0" w:space="0" w:color="auto"/>
            <w:right w:val="none" w:sz="0" w:space="0" w:color="auto"/>
          </w:divBdr>
        </w:div>
        <w:div w:id="721632709">
          <w:marLeft w:val="547"/>
          <w:marRight w:val="101"/>
          <w:marTop w:val="0"/>
          <w:marBottom w:val="240"/>
          <w:divBdr>
            <w:top w:val="none" w:sz="0" w:space="0" w:color="auto"/>
            <w:left w:val="none" w:sz="0" w:space="0" w:color="auto"/>
            <w:bottom w:val="none" w:sz="0" w:space="0" w:color="auto"/>
            <w:right w:val="none" w:sz="0" w:space="0" w:color="auto"/>
          </w:divBdr>
        </w:div>
        <w:div w:id="523372236">
          <w:marLeft w:val="547"/>
          <w:marRight w:val="101"/>
          <w:marTop w:val="0"/>
          <w:marBottom w:val="240"/>
          <w:divBdr>
            <w:top w:val="none" w:sz="0" w:space="0" w:color="auto"/>
            <w:left w:val="none" w:sz="0" w:space="0" w:color="auto"/>
            <w:bottom w:val="none" w:sz="0" w:space="0" w:color="auto"/>
            <w:right w:val="none" w:sz="0" w:space="0" w:color="auto"/>
          </w:divBdr>
        </w:div>
        <w:div w:id="177622187">
          <w:marLeft w:val="547"/>
          <w:marRight w:val="101"/>
          <w:marTop w:val="0"/>
          <w:marBottom w:val="240"/>
          <w:divBdr>
            <w:top w:val="none" w:sz="0" w:space="0" w:color="auto"/>
            <w:left w:val="none" w:sz="0" w:space="0" w:color="auto"/>
            <w:bottom w:val="none" w:sz="0" w:space="0" w:color="auto"/>
            <w:right w:val="none" w:sz="0" w:space="0" w:color="auto"/>
          </w:divBdr>
        </w:div>
        <w:div w:id="936324445">
          <w:marLeft w:val="547"/>
          <w:marRight w:val="101"/>
          <w:marTop w:val="0"/>
          <w:marBottom w:val="240"/>
          <w:divBdr>
            <w:top w:val="none" w:sz="0" w:space="0" w:color="auto"/>
            <w:left w:val="none" w:sz="0" w:space="0" w:color="auto"/>
            <w:bottom w:val="none" w:sz="0" w:space="0" w:color="auto"/>
            <w:right w:val="none" w:sz="0" w:space="0" w:color="auto"/>
          </w:divBdr>
        </w:div>
        <w:div w:id="680164233">
          <w:marLeft w:val="547"/>
          <w:marRight w:val="101"/>
          <w:marTop w:val="0"/>
          <w:marBottom w:val="240"/>
          <w:divBdr>
            <w:top w:val="none" w:sz="0" w:space="0" w:color="auto"/>
            <w:left w:val="none" w:sz="0" w:space="0" w:color="auto"/>
            <w:bottom w:val="none" w:sz="0" w:space="0" w:color="auto"/>
            <w:right w:val="none" w:sz="0" w:space="0" w:color="auto"/>
          </w:divBdr>
        </w:div>
        <w:div w:id="86729603">
          <w:marLeft w:val="547"/>
          <w:marRight w:val="0"/>
          <w:marTop w:val="0"/>
          <w:marBottom w:val="240"/>
          <w:divBdr>
            <w:top w:val="none" w:sz="0" w:space="0" w:color="auto"/>
            <w:left w:val="none" w:sz="0" w:space="0" w:color="auto"/>
            <w:bottom w:val="none" w:sz="0" w:space="0" w:color="auto"/>
            <w:right w:val="none" w:sz="0" w:space="0" w:color="auto"/>
          </w:divBdr>
        </w:div>
        <w:div w:id="1419325095">
          <w:marLeft w:val="547"/>
          <w:marRight w:val="0"/>
          <w:marTop w:val="0"/>
          <w:marBottom w:val="240"/>
          <w:divBdr>
            <w:top w:val="none" w:sz="0" w:space="0" w:color="auto"/>
            <w:left w:val="none" w:sz="0" w:space="0" w:color="auto"/>
            <w:bottom w:val="none" w:sz="0" w:space="0" w:color="auto"/>
            <w:right w:val="none" w:sz="0" w:space="0" w:color="auto"/>
          </w:divBdr>
        </w:div>
        <w:div w:id="805853679">
          <w:marLeft w:val="547"/>
          <w:marRight w:val="0"/>
          <w:marTop w:val="0"/>
          <w:marBottom w:val="240"/>
          <w:divBdr>
            <w:top w:val="none" w:sz="0" w:space="0" w:color="auto"/>
            <w:left w:val="none" w:sz="0" w:space="0" w:color="auto"/>
            <w:bottom w:val="none" w:sz="0" w:space="0" w:color="auto"/>
            <w:right w:val="none" w:sz="0" w:space="0" w:color="auto"/>
          </w:divBdr>
        </w:div>
        <w:div w:id="243075482">
          <w:marLeft w:val="547"/>
          <w:marRight w:val="0"/>
          <w:marTop w:val="0"/>
          <w:marBottom w:val="240"/>
          <w:divBdr>
            <w:top w:val="none" w:sz="0" w:space="0" w:color="auto"/>
            <w:left w:val="none" w:sz="0" w:space="0" w:color="auto"/>
            <w:bottom w:val="none" w:sz="0" w:space="0" w:color="auto"/>
            <w:right w:val="none" w:sz="0" w:space="0" w:color="auto"/>
          </w:divBdr>
        </w:div>
        <w:div w:id="1332835059">
          <w:marLeft w:val="547"/>
          <w:marRight w:val="0"/>
          <w:marTop w:val="0"/>
          <w:marBottom w:val="240"/>
          <w:divBdr>
            <w:top w:val="none" w:sz="0" w:space="0" w:color="auto"/>
            <w:left w:val="none" w:sz="0" w:space="0" w:color="auto"/>
            <w:bottom w:val="none" w:sz="0" w:space="0" w:color="auto"/>
            <w:right w:val="none" w:sz="0" w:space="0" w:color="auto"/>
          </w:divBdr>
        </w:div>
        <w:div w:id="1262492067">
          <w:marLeft w:val="547"/>
          <w:marRight w:val="0"/>
          <w:marTop w:val="0"/>
          <w:marBottom w:val="240"/>
          <w:divBdr>
            <w:top w:val="none" w:sz="0" w:space="0" w:color="auto"/>
            <w:left w:val="none" w:sz="0" w:space="0" w:color="auto"/>
            <w:bottom w:val="none" w:sz="0" w:space="0" w:color="auto"/>
            <w:right w:val="none" w:sz="0" w:space="0" w:color="auto"/>
          </w:divBdr>
        </w:div>
        <w:div w:id="2081752294">
          <w:marLeft w:val="547"/>
          <w:marRight w:val="0"/>
          <w:marTop w:val="0"/>
          <w:marBottom w:val="240"/>
          <w:divBdr>
            <w:top w:val="none" w:sz="0" w:space="0" w:color="auto"/>
            <w:left w:val="none" w:sz="0" w:space="0" w:color="auto"/>
            <w:bottom w:val="none" w:sz="0" w:space="0" w:color="auto"/>
            <w:right w:val="none" w:sz="0" w:space="0" w:color="auto"/>
          </w:divBdr>
        </w:div>
        <w:div w:id="162938285">
          <w:marLeft w:val="547"/>
          <w:marRight w:val="0"/>
          <w:marTop w:val="0"/>
          <w:marBottom w:val="240"/>
          <w:divBdr>
            <w:top w:val="none" w:sz="0" w:space="0" w:color="auto"/>
            <w:left w:val="none" w:sz="0" w:space="0" w:color="auto"/>
            <w:bottom w:val="none" w:sz="0" w:space="0" w:color="auto"/>
            <w:right w:val="none" w:sz="0" w:space="0" w:color="auto"/>
          </w:divBdr>
        </w:div>
        <w:div w:id="1290472781">
          <w:marLeft w:val="547"/>
          <w:marRight w:val="619"/>
          <w:marTop w:val="0"/>
          <w:marBottom w:val="240"/>
          <w:divBdr>
            <w:top w:val="none" w:sz="0" w:space="0" w:color="auto"/>
            <w:left w:val="none" w:sz="0" w:space="0" w:color="auto"/>
            <w:bottom w:val="none" w:sz="0" w:space="0" w:color="auto"/>
            <w:right w:val="none" w:sz="0" w:space="0" w:color="auto"/>
          </w:divBdr>
        </w:div>
        <w:div w:id="1814909158">
          <w:marLeft w:val="547"/>
          <w:marRight w:val="619"/>
          <w:marTop w:val="0"/>
          <w:marBottom w:val="240"/>
          <w:divBdr>
            <w:top w:val="none" w:sz="0" w:space="0" w:color="auto"/>
            <w:left w:val="none" w:sz="0" w:space="0" w:color="auto"/>
            <w:bottom w:val="none" w:sz="0" w:space="0" w:color="auto"/>
            <w:right w:val="none" w:sz="0" w:space="0" w:color="auto"/>
          </w:divBdr>
        </w:div>
        <w:div w:id="1802458473">
          <w:marLeft w:val="547"/>
          <w:marRight w:val="619"/>
          <w:marTop w:val="0"/>
          <w:marBottom w:val="240"/>
          <w:divBdr>
            <w:top w:val="none" w:sz="0" w:space="0" w:color="auto"/>
            <w:left w:val="none" w:sz="0" w:space="0" w:color="auto"/>
            <w:bottom w:val="none" w:sz="0" w:space="0" w:color="auto"/>
            <w:right w:val="none" w:sz="0" w:space="0" w:color="auto"/>
          </w:divBdr>
        </w:div>
        <w:div w:id="1319650802">
          <w:marLeft w:val="547"/>
          <w:marRight w:val="619"/>
          <w:marTop w:val="0"/>
          <w:marBottom w:val="240"/>
          <w:divBdr>
            <w:top w:val="none" w:sz="0" w:space="0" w:color="auto"/>
            <w:left w:val="none" w:sz="0" w:space="0" w:color="auto"/>
            <w:bottom w:val="none" w:sz="0" w:space="0" w:color="auto"/>
            <w:right w:val="none" w:sz="0" w:space="0" w:color="auto"/>
          </w:divBdr>
        </w:div>
        <w:div w:id="1805266623">
          <w:marLeft w:val="547"/>
          <w:marRight w:val="619"/>
          <w:marTop w:val="0"/>
          <w:marBottom w:val="240"/>
          <w:divBdr>
            <w:top w:val="none" w:sz="0" w:space="0" w:color="auto"/>
            <w:left w:val="none" w:sz="0" w:space="0" w:color="auto"/>
            <w:bottom w:val="none" w:sz="0" w:space="0" w:color="auto"/>
            <w:right w:val="none" w:sz="0" w:space="0" w:color="auto"/>
          </w:divBdr>
        </w:div>
        <w:div w:id="1124037132">
          <w:marLeft w:val="547"/>
          <w:marRight w:val="619"/>
          <w:marTop w:val="0"/>
          <w:marBottom w:val="240"/>
          <w:divBdr>
            <w:top w:val="none" w:sz="0" w:space="0" w:color="auto"/>
            <w:left w:val="none" w:sz="0" w:space="0" w:color="auto"/>
            <w:bottom w:val="none" w:sz="0" w:space="0" w:color="auto"/>
            <w:right w:val="none" w:sz="0" w:space="0" w:color="auto"/>
          </w:divBdr>
        </w:div>
        <w:div w:id="1411080787">
          <w:marLeft w:val="547"/>
          <w:marRight w:val="619"/>
          <w:marTop w:val="0"/>
          <w:marBottom w:val="240"/>
          <w:divBdr>
            <w:top w:val="none" w:sz="0" w:space="0" w:color="auto"/>
            <w:left w:val="none" w:sz="0" w:space="0" w:color="auto"/>
            <w:bottom w:val="none" w:sz="0" w:space="0" w:color="auto"/>
            <w:right w:val="none" w:sz="0" w:space="0" w:color="auto"/>
          </w:divBdr>
        </w:div>
        <w:div w:id="917712541">
          <w:marLeft w:val="547"/>
          <w:marRight w:val="0"/>
          <w:marTop w:val="0"/>
          <w:marBottom w:val="240"/>
          <w:divBdr>
            <w:top w:val="none" w:sz="0" w:space="0" w:color="auto"/>
            <w:left w:val="none" w:sz="0" w:space="0" w:color="auto"/>
            <w:bottom w:val="none" w:sz="0" w:space="0" w:color="auto"/>
            <w:right w:val="none" w:sz="0" w:space="0" w:color="auto"/>
          </w:divBdr>
        </w:div>
        <w:div w:id="1651252475">
          <w:marLeft w:val="547"/>
          <w:marRight w:val="0"/>
          <w:marTop w:val="0"/>
          <w:marBottom w:val="240"/>
          <w:divBdr>
            <w:top w:val="none" w:sz="0" w:space="0" w:color="auto"/>
            <w:left w:val="none" w:sz="0" w:space="0" w:color="auto"/>
            <w:bottom w:val="none" w:sz="0" w:space="0" w:color="auto"/>
            <w:right w:val="none" w:sz="0" w:space="0" w:color="auto"/>
          </w:divBdr>
        </w:div>
        <w:div w:id="803694242">
          <w:marLeft w:val="547"/>
          <w:marRight w:val="0"/>
          <w:marTop w:val="0"/>
          <w:marBottom w:val="240"/>
          <w:divBdr>
            <w:top w:val="none" w:sz="0" w:space="0" w:color="auto"/>
            <w:left w:val="none" w:sz="0" w:space="0" w:color="auto"/>
            <w:bottom w:val="none" w:sz="0" w:space="0" w:color="auto"/>
            <w:right w:val="none" w:sz="0" w:space="0" w:color="auto"/>
          </w:divBdr>
        </w:div>
        <w:div w:id="1597250692">
          <w:marLeft w:val="547"/>
          <w:marRight w:val="0"/>
          <w:marTop w:val="0"/>
          <w:marBottom w:val="240"/>
          <w:divBdr>
            <w:top w:val="none" w:sz="0" w:space="0" w:color="auto"/>
            <w:left w:val="none" w:sz="0" w:space="0" w:color="auto"/>
            <w:bottom w:val="none" w:sz="0" w:space="0" w:color="auto"/>
            <w:right w:val="none" w:sz="0" w:space="0" w:color="auto"/>
          </w:divBdr>
        </w:div>
        <w:div w:id="645355509">
          <w:marLeft w:val="547"/>
          <w:marRight w:val="0"/>
          <w:marTop w:val="0"/>
          <w:marBottom w:val="240"/>
          <w:divBdr>
            <w:top w:val="none" w:sz="0" w:space="0" w:color="auto"/>
            <w:left w:val="none" w:sz="0" w:space="0" w:color="auto"/>
            <w:bottom w:val="none" w:sz="0" w:space="0" w:color="auto"/>
            <w:right w:val="none" w:sz="0" w:space="0" w:color="auto"/>
          </w:divBdr>
        </w:div>
        <w:div w:id="1211916074">
          <w:marLeft w:val="547"/>
          <w:marRight w:val="0"/>
          <w:marTop w:val="0"/>
          <w:marBottom w:val="240"/>
          <w:divBdr>
            <w:top w:val="none" w:sz="0" w:space="0" w:color="auto"/>
            <w:left w:val="none" w:sz="0" w:space="0" w:color="auto"/>
            <w:bottom w:val="none" w:sz="0" w:space="0" w:color="auto"/>
            <w:right w:val="none" w:sz="0" w:space="0" w:color="auto"/>
          </w:divBdr>
        </w:div>
        <w:div w:id="1003632604">
          <w:marLeft w:val="547"/>
          <w:marRight w:val="0"/>
          <w:marTop w:val="0"/>
          <w:marBottom w:val="240"/>
          <w:divBdr>
            <w:top w:val="none" w:sz="0" w:space="0" w:color="auto"/>
            <w:left w:val="none" w:sz="0" w:space="0" w:color="auto"/>
            <w:bottom w:val="none" w:sz="0" w:space="0" w:color="auto"/>
            <w:right w:val="none" w:sz="0" w:space="0" w:color="auto"/>
          </w:divBdr>
        </w:div>
        <w:div w:id="393167082">
          <w:marLeft w:val="547"/>
          <w:marRight w:val="0"/>
          <w:marTop w:val="0"/>
          <w:marBottom w:val="240"/>
          <w:divBdr>
            <w:top w:val="none" w:sz="0" w:space="0" w:color="auto"/>
            <w:left w:val="none" w:sz="0" w:space="0" w:color="auto"/>
            <w:bottom w:val="none" w:sz="0" w:space="0" w:color="auto"/>
            <w:right w:val="none" w:sz="0" w:space="0" w:color="auto"/>
          </w:divBdr>
        </w:div>
        <w:div w:id="1738094845">
          <w:marLeft w:val="547"/>
          <w:marRight w:val="0"/>
          <w:marTop w:val="0"/>
          <w:marBottom w:val="240"/>
          <w:divBdr>
            <w:top w:val="none" w:sz="0" w:space="0" w:color="auto"/>
            <w:left w:val="none" w:sz="0" w:space="0" w:color="auto"/>
            <w:bottom w:val="none" w:sz="0" w:space="0" w:color="auto"/>
            <w:right w:val="none" w:sz="0" w:space="0" w:color="auto"/>
          </w:divBdr>
        </w:div>
        <w:div w:id="1059867192">
          <w:marLeft w:val="547"/>
          <w:marRight w:val="504"/>
          <w:marTop w:val="0"/>
          <w:marBottom w:val="240"/>
          <w:divBdr>
            <w:top w:val="none" w:sz="0" w:space="0" w:color="auto"/>
            <w:left w:val="none" w:sz="0" w:space="0" w:color="auto"/>
            <w:bottom w:val="none" w:sz="0" w:space="0" w:color="auto"/>
            <w:right w:val="none" w:sz="0" w:space="0" w:color="auto"/>
          </w:divBdr>
        </w:div>
        <w:div w:id="1315333451">
          <w:marLeft w:val="547"/>
          <w:marRight w:val="619"/>
          <w:marTop w:val="0"/>
          <w:marBottom w:val="240"/>
          <w:divBdr>
            <w:top w:val="none" w:sz="0" w:space="0" w:color="auto"/>
            <w:left w:val="none" w:sz="0" w:space="0" w:color="auto"/>
            <w:bottom w:val="none" w:sz="0" w:space="0" w:color="auto"/>
            <w:right w:val="none" w:sz="0" w:space="0" w:color="auto"/>
          </w:divBdr>
        </w:div>
        <w:div w:id="1317345509">
          <w:marLeft w:val="547"/>
          <w:marRight w:val="418"/>
          <w:marTop w:val="0"/>
          <w:marBottom w:val="240"/>
          <w:divBdr>
            <w:top w:val="none" w:sz="0" w:space="0" w:color="auto"/>
            <w:left w:val="none" w:sz="0" w:space="0" w:color="auto"/>
            <w:bottom w:val="none" w:sz="0" w:space="0" w:color="auto"/>
            <w:right w:val="none" w:sz="0" w:space="0" w:color="auto"/>
          </w:divBdr>
        </w:div>
        <w:div w:id="508716528">
          <w:marLeft w:val="547"/>
          <w:marRight w:val="403"/>
          <w:marTop w:val="0"/>
          <w:marBottom w:val="0"/>
          <w:divBdr>
            <w:top w:val="none" w:sz="0" w:space="0" w:color="auto"/>
            <w:left w:val="none" w:sz="0" w:space="0" w:color="auto"/>
            <w:bottom w:val="none" w:sz="0" w:space="0" w:color="auto"/>
            <w:right w:val="none" w:sz="0" w:space="0" w:color="auto"/>
          </w:divBdr>
        </w:div>
        <w:div w:id="278227292">
          <w:marLeft w:val="547"/>
          <w:marRight w:val="202"/>
          <w:marTop w:val="0"/>
          <w:marBottom w:val="0"/>
          <w:divBdr>
            <w:top w:val="none" w:sz="0" w:space="0" w:color="auto"/>
            <w:left w:val="none" w:sz="0" w:space="0" w:color="auto"/>
            <w:bottom w:val="none" w:sz="0" w:space="0" w:color="auto"/>
            <w:right w:val="none" w:sz="0" w:space="0" w:color="auto"/>
          </w:divBdr>
        </w:div>
        <w:div w:id="255555625">
          <w:marLeft w:val="547"/>
          <w:marRight w:val="662"/>
          <w:marTop w:val="34"/>
          <w:marBottom w:val="240"/>
          <w:divBdr>
            <w:top w:val="none" w:sz="0" w:space="0" w:color="auto"/>
            <w:left w:val="none" w:sz="0" w:space="0" w:color="auto"/>
            <w:bottom w:val="none" w:sz="0" w:space="0" w:color="auto"/>
            <w:right w:val="none" w:sz="0" w:space="0" w:color="auto"/>
          </w:divBdr>
        </w:div>
        <w:div w:id="98768882">
          <w:marLeft w:val="547"/>
          <w:marRight w:val="0"/>
          <w:marTop w:val="0"/>
          <w:marBottom w:val="0"/>
          <w:divBdr>
            <w:top w:val="none" w:sz="0" w:space="0" w:color="auto"/>
            <w:left w:val="none" w:sz="0" w:space="0" w:color="auto"/>
            <w:bottom w:val="none" w:sz="0" w:space="0" w:color="auto"/>
            <w:right w:val="none" w:sz="0" w:space="0" w:color="auto"/>
          </w:divBdr>
        </w:div>
        <w:div w:id="1246455546">
          <w:marLeft w:val="547"/>
          <w:marRight w:val="475"/>
          <w:marTop w:val="23"/>
          <w:marBottom w:val="0"/>
          <w:divBdr>
            <w:top w:val="none" w:sz="0" w:space="0" w:color="auto"/>
            <w:left w:val="none" w:sz="0" w:space="0" w:color="auto"/>
            <w:bottom w:val="none" w:sz="0" w:space="0" w:color="auto"/>
            <w:right w:val="none" w:sz="0" w:space="0" w:color="auto"/>
          </w:divBdr>
        </w:div>
        <w:div w:id="1234853481">
          <w:marLeft w:val="547"/>
          <w:marRight w:val="144"/>
          <w:marTop w:val="0"/>
          <w:marBottom w:val="0"/>
          <w:divBdr>
            <w:top w:val="none" w:sz="0" w:space="0" w:color="auto"/>
            <w:left w:val="none" w:sz="0" w:space="0" w:color="auto"/>
            <w:bottom w:val="none" w:sz="0" w:space="0" w:color="auto"/>
            <w:right w:val="none" w:sz="0" w:space="0" w:color="auto"/>
          </w:divBdr>
        </w:div>
      </w:divsChild>
    </w:div>
    <w:div w:id="718943421">
      <w:bodyDiv w:val="1"/>
      <w:marLeft w:val="0"/>
      <w:marRight w:val="0"/>
      <w:marTop w:val="0"/>
      <w:marBottom w:val="0"/>
      <w:divBdr>
        <w:top w:val="none" w:sz="0" w:space="0" w:color="auto"/>
        <w:left w:val="none" w:sz="0" w:space="0" w:color="auto"/>
        <w:bottom w:val="none" w:sz="0" w:space="0" w:color="auto"/>
        <w:right w:val="none" w:sz="0" w:space="0" w:color="auto"/>
      </w:divBdr>
    </w:div>
    <w:div w:id="8804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RTAC Colors 2">
      <a:dk1>
        <a:srgbClr val="0D1D34"/>
      </a:dk1>
      <a:lt1>
        <a:srgbClr val="F8F8FF"/>
      </a:lt1>
      <a:dk2>
        <a:srgbClr val="173654"/>
      </a:dk2>
      <a:lt2>
        <a:srgbClr val="DAE7E5"/>
      </a:lt2>
      <a:accent1>
        <a:srgbClr val="00007D"/>
      </a:accent1>
      <a:accent2>
        <a:srgbClr val="C7975E"/>
      </a:accent2>
      <a:accent3>
        <a:srgbClr val="8B8887"/>
      </a:accent3>
      <a:accent4>
        <a:srgbClr val="527E79"/>
      </a:accent4>
      <a:accent5>
        <a:srgbClr val="EFE0CF"/>
      </a:accent5>
      <a:accent6>
        <a:srgbClr val="00007D"/>
      </a:accent6>
      <a:hlink>
        <a:srgbClr val="527E79"/>
      </a:hlink>
      <a:folHlink>
        <a:srgbClr val="C7975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1D78679677024C92B49F42965B824B" ma:contentTypeVersion="11" ma:contentTypeDescription="Create a new document." ma:contentTypeScope="" ma:versionID="53e9f83d0356856215ffa93df5f5e3b7">
  <xsd:schema xmlns:xsd="http://www.w3.org/2001/XMLSchema" xmlns:xs="http://www.w3.org/2001/XMLSchema" xmlns:p="http://schemas.microsoft.com/office/2006/metadata/properties" xmlns:ns2="a8f4f48c-d55d-4625-8121-08fdad9dc02e" xmlns:ns3="1a8891b2-1cf9-42d5-86da-aa042c4bacc4" targetNamespace="http://schemas.microsoft.com/office/2006/metadata/properties" ma:root="true" ma:fieldsID="e785e59aa5cb8a43347f673f3c4ed5fb" ns2:_="" ns3:_="">
    <xsd:import namespace="a8f4f48c-d55d-4625-8121-08fdad9dc02e"/>
    <xsd:import namespace="1a8891b2-1cf9-42d5-86da-aa042c4bac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891b2-1cf9-42d5-86da-aa042c4bac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7F1CC-90D6-40B7-B1FE-A278DF52B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AF854B-4106-44D2-B40F-1E60F847E654}">
  <ds:schemaRefs>
    <ds:schemaRef ds:uri="http://schemas.microsoft.com/sharepoint/v3/contenttype/forms"/>
  </ds:schemaRefs>
</ds:datastoreItem>
</file>

<file path=customXml/itemProps3.xml><?xml version="1.0" encoding="utf-8"?>
<ds:datastoreItem xmlns:ds="http://schemas.openxmlformats.org/officeDocument/2006/customXml" ds:itemID="{C1DF3C27-EFD9-4B3B-808F-B58EBD444263}">
  <ds:schemaRefs>
    <ds:schemaRef ds:uri="http://schemas.openxmlformats.org/officeDocument/2006/bibliography"/>
  </ds:schemaRefs>
</ds:datastoreItem>
</file>

<file path=customXml/itemProps4.xml><?xml version="1.0" encoding="utf-8"?>
<ds:datastoreItem xmlns:ds="http://schemas.openxmlformats.org/officeDocument/2006/customXml" ds:itemID="{4B690DFE-1378-411C-ABE2-6F490B7EE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1a8891b2-1cf9-42d5-86da-aa042c4ba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3371</Words>
  <Characters>18004</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Ferguson</dc:creator>
  <cp:keywords/>
  <dc:description/>
  <cp:lastModifiedBy>Mindi Ferguson</cp:lastModifiedBy>
  <cp:revision>23</cp:revision>
  <dcterms:created xsi:type="dcterms:W3CDTF">2023-03-06T19:42:00Z</dcterms:created>
  <dcterms:modified xsi:type="dcterms:W3CDTF">2023-03-14T04:48:00Z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0x010100DB1D78679677024C92B49F42965B824B</vt:lpwstr>
  </property>
</Properties>
</file>