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0027" w14:textId="3C421ECD" w:rsidR="00E954B6" w:rsidRDefault="00E954B6">
      <w:pPr>
        <w:rPr>
          <w:bCs/>
        </w:rPr>
      </w:pPr>
      <w:r>
        <w:rPr>
          <w:noProof/>
        </w:rPr>
        <mc:AlternateContent>
          <mc:Choice Requires="wpg">
            <w:drawing>
              <wp:anchor distT="0" distB="0" distL="114300" distR="114300" simplePos="0" relativeHeight="251712512" behindDoc="1" locked="0" layoutInCell="1" allowOverlap="1" wp14:anchorId="4FA46295" wp14:editId="30A6D2F4">
                <wp:simplePos x="0" y="0"/>
                <wp:positionH relativeFrom="margin">
                  <wp:align>center</wp:align>
                </wp:positionH>
                <wp:positionV relativeFrom="margin">
                  <wp:align>center</wp:align>
                </wp:positionV>
                <wp:extent cx="7001564" cy="9099798"/>
                <wp:effectExtent l="0" t="0" r="8890" b="635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01564" cy="9099798"/>
                          <a:chOff x="-1502622" y="-137141"/>
                          <a:chExt cx="6943605" cy="9416983"/>
                        </a:xfrm>
                      </wpg:grpSpPr>
                      <wps:wsp>
                        <wps:cNvPr id="194" name="Rectangle 194"/>
                        <wps:cNvSpPr/>
                        <wps:spPr>
                          <a:xfrm>
                            <a:off x="-1502622" y="-137141"/>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450052" y="4607540"/>
                            <a:ext cx="6858000" cy="467230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0C4CC" w14:textId="77777777" w:rsidR="00E954B6" w:rsidRDefault="00E954B6" w:rsidP="00E954B6">
                              <w:pPr>
                                <w:pStyle w:val="NoSpacing"/>
                                <w:spacing w:before="120"/>
                                <w:jc w:val="center"/>
                                <w:rPr>
                                  <w:color w:val="FFFFFF" w:themeColor="background1"/>
                                </w:rPr>
                              </w:pPr>
                              <w:r>
                                <w:rPr>
                                  <w:color w:val="FFFFFF" w:themeColor="background1"/>
                                </w:rPr>
                                <w:t xml:space="preserve">Caren Sax, Chaz </w:t>
                              </w:r>
                              <w:proofErr w:type="gramStart"/>
                              <w:r>
                                <w:rPr>
                                  <w:color w:val="FFFFFF" w:themeColor="background1"/>
                                </w:rPr>
                                <w:t>Compton</w:t>
                              </w:r>
                              <w:proofErr w:type="gramEnd"/>
                              <w:r>
                                <w:rPr>
                                  <w:color w:val="FFFFFF" w:themeColor="background1"/>
                                </w:rPr>
                                <w:t xml:space="preserve"> and Chip Kenney</w:t>
                              </w:r>
                            </w:p>
                            <w:p w14:paraId="0B8AC2CB" w14:textId="77777777" w:rsidR="00E954B6" w:rsidRDefault="00E954B6" w:rsidP="00E954B6">
                              <w:pPr>
                                <w:pStyle w:val="NoSpacing"/>
                                <w:spacing w:before="120"/>
                                <w:jc w:val="center"/>
                                <w:rPr>
                                  <w:color w:val="FFFFFF" w:themeColor="background1"/>
                                </w:rPr>
                              </w:pPr>
                              <w:r>
                                <w:rPr>
                                  <w:color w:val="FFFFFF" w:themeColor="background1"/>
                                </w:rPr>
                                <w:t>Semi-Annual Report, Year Two</w:t>
                              </w:r>
                            </w:p>
                            <w:p w14:paraId="655FA2D0" w14:textId="77777777" w:rsidR="00E954B6" w:rsidRDefault="00E954B6" w:rsidP="00E954B6">
                              <w:pPr>
                                <w:pStyle w:val="NoSpacing"/>
                                <w:spacing w:before="120"/>
                                <w:jc w:val="center"/>
                                <w:rPr>
                                  <w:caps/>
                                  <w:color w:val="FFFFFF" w:themeColor="background1"/>
                                </w:rPr>
                              </w:pPr>
                              <w:r>
                                <w:rPr>
                                  <w:caps/>
                                  <w:color w:val="FFFFFF" w:themeColor="background1"/>
                                </w:rPr>
                                <w:t>SAN DIEGO STATE UNIVERSITY Research foundation</w:t>
                              </w:r>
                            </w:p>
                            <w:p w14:paraId="20F5E0D4" w14:textId="77777777" w:rsidR="00E954B6" w:rsidRDefault="00E954B6" w:rsidP="00E954B6">
                              <w:pPr>
                                <w:pStyle w:val="NoSpacing"/>
                                <w:spacing w:before="120"/>
                                <w:jc w:val="center"/>
                                <w:rPr>
                                  <w:color w:val="FFFFFF" w:themeColor="background1"/>
                                </w:rPr>
                              </w:pPr>
                              <w:r>
                                <w:rPr>
                                  <w:caps/>
                                  <w:color w:val="FFFFFF" w:themeColor="background1"/>
                                </w:rPr>
                                <w:t>INTERWORK INSTITUTE</w:t>
                              </w:r>
                            </w:p>
                            <w:p w14:paraId="13BEE1A3" w14:textId="77777777" w:rsidR="00E954B6" w:rsidRDefault="00E954B6" w:rsidP="00E954B6">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417017" y="1363666"/>
                            <a:ext cx="6858000" cy="30930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2DBAC" w14:textId="77777777" w:rsidR="00E954B6" w:rsidRPr="003B1D7D" w:rsidRDefault="00E954B6" w:rsidP="00E954B6">
                              <w:pPr>
                                <w:pStyle w:val="NoSpacing"/>
                                <w:jc w:val="center"/>
                                <w:rPr>
                                  <w:rFonts w:ascii="Cambria" w:eastAsiaTheme="majorEastAsia" w:hAnsi="Cambria" w:cstheme="majorBidi"/>
                                  <w:caps/>
                                  <w:color w:val="2E74B5" w:themeColor="accent1" w:themeShade="BF"/>
                                  <w:sz w:val="300"/>
                                  <w:szCs w:val="72"/>
                                </w:rPr>
                              </w:pPr>
                              <w:r w:rsidRPr="003B1D7D">
                                <w:rPr>
                                  <w:rFonts w:ascii="Cambria" w:hAnsi="Cambria"/>
                                  <w:noProof/>
                                  <w:color w:val="2E74B5" w:themeColor="accent1" w:themeShade="BF"/>
                                  <w:sz w:val="96"/>
                                </w:rPr>
                                <w:t>VRTAC-QM</w:t>
                              </w:r>
                            </w:p>
                            <w:p w14:paraId="46120477" w14:textId="77777777" w:rsidR="00E954B6" w:rsidRPr="0045221A" w:rsidRDefault="00E954B6" w:rsidP="00E954B6">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Semi-Annual</w:t>
                              </w:r>
                              <w:r w:rsidRPr="0045221A">
                                <w:rPr>
                                  <w:rFonts w:ascii="Cambria" w:eastAsiaTheme="majorEastAsia" w:hAnsi="Cambria" w:cstheme="majorBidi"/>
                                  <w:caps/>
                                  <w:color w:val="5B9BD5" w:themeColor="accent1"/>
                                  <w:sz w:val="72"/>
                                  <w:szCs w:val="72"/>
                                </w:rPr>
                                <w:t xml:space="preserve"> </w:t>
                              </w:r>
                              <w:r>
                                <w:rPr>
                                  <w:rFonts w:ascii="Cambria" w:eastAsiaTheme="majorEastAsia" w:hAnsi="Cambria" w:cstheme="majorBidi"/>
                                  <w:caps/>
                                  <w:color w:val="5B9BD5" w:themeColor="accent1"/>
                                  <w:sz w:val="72"/>
                                  <w:szCs w:val="72"/>
                                </w:rPr>
                                <w:t xml:space="preserve">Performance and FIscal </w:t>
                              </w:r>
                              <w:r w:rsidRPr="0045221A">
                                <w:rPr>
                                  <w:rFonts w:ascii="Cambria" w:eastAsiaTheme="majorEastAsia" w:hAnsi="Cambria" w:cstheme="majorBidi"/>
                                  <w:caps/>
                                  <w:color w:val="5B9BD5" w:themeColor="accent1"/>
                                  <w:sz w:val="72"/>
                                  <w:szCs w:val="72"/>
                                </w:rPr>
                                <w:t>Report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A46295" id="Group 193" o:spid="_x0000_s1026" alt="&quot;&quot;" style="position:absolute;margin-left:0;margin-top:0;width:551.3pt;height:716.5pt;z-index:-251603968;mso-position-horizontal:center;mso-position-horizontal-relative:margin;mso-position-vertical:center;mso-position-vertical-relative:margin" coordorigin="-15026,-1371" coordsize="69436,9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">
                <v:rect id="Rectangle 194" o:spid="_x0000_s1027" style="position:absolute;left:-15026;top:-1371;width:68579;height:1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" fillcolor="#1f4d78 [1604]" stroked="f" strokeweight="1pt"/>
                <v:rect id="Rectangle 195" o:spid="_x0000_s1028" style="position:absolute;left:-14500;top:46075;width:68579;height:467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" fillcolor="#1f4d78 [1604]" stroked="f" strokeweight="1pt">
                  <v:textbox inset="36pt,57.6pt,36pt,36pt">
                    <w:txbxContent>
                      <w:p w14:paraId="6F00C4CC" w14:textId="77777777" w:rsidR="00E954B6" w:rsidRDefault="00E954B6" w:rsidP="00E954B6">
                        <w:pPr>
                          <w:pStyle w:val="NoSpacing"/>
                          <w:spacing w:before="120"/>
                          <w:jc w:val="center"/>
                          <w:rPr>
                            <w:color w:val="FFFFFF" w:themeColor="background1"/>
                          </w:rPr>
                        </w:pPr>
                        <w:r>
                          <w:rPr>
                            <w:color w:val="FFFFFF" w:themeColor="background1"/>
                          </w:rPr>
                          <w:t xml:space="preserve">Caren Sax, Chaz </w:t>
                        </w:r>
                        <w:proofErr w:type="gramStart"/>
                        <w:r>
                          <w:rPr>
                            <w:color w:val="FFFFFF" w:themeColor="background1"/>
                          </w:rPr>
                          <w:t>Compton</w:t>
                        </w:r>
                        <w:proofErr w:type="gramEnd"/>
                        <w:r>
                          <w:rPr>
                            <w:color w:val="FFFFFF" w:themeColor="background1"/>
                          </w:rPr>
                          <w:t xml:space="preserve"> and Chip Kenney</w:t>
                        </w:r>
                      </w:p>
                      <w:p w14:paraId="0B8AC2CB" w14:textId="77777777" w:rsidR="00E954B6" w:rsidRDefault="00E954B6" w:rsidP="00E954B6">
                        <w:pPr>
                          <w:pStyle w:val="NoSpacing"/>
                          <w:spacing w:before="120"/>
                          <w:jc w:val="center"/>
                          <w:rPr>
                            <w:color w:val="FFFFFF" w:themeColor="background1"/>
                          </w:rPr>
                        </w:pPr>
                        <w:r>
                          <w:rPr>
                            <w:color w:val="FFFFFF" w:themeColor="background1"/>
                          </w:rPr>
                          <w:t>Semi-Annual Report, Year Two</w:t>
                        </w:r>
                      </w:p>
                      <w:p w14:paraId="655FA2D0" w14:textId="77777777" w:rsidR="00E954B6" w:rsidRDefault="00E954B6" w:rsidP="00E954B6">
                        <w:pPr>
                          <w:pStyle w:val="NoSpacing"/>
                          <w:spacing w:before="120"/>
                          <w:jc w:val="center"/>
                          <w:rPr>
                            <w:caps/>
                            <w:color w:val="FFFFFF" w:themeColor="background1"/>
                          </w:rPr>
                        </w:pPr>
                        <w:r>
                          <w:rPr>
                            <w:caps/>
                            <w:color w:val="FFFFFF" w:themeColor="background1"/>
                          </w:rPr>
                          <w:t>SAN DIEGO STATE UNIVERSITY Research foundation</w:t>
                        </w:r>
                      </w:p>
                      <w:p w14:paraId="20F5E0D4" w14:textId="77777777" w:rsidR="00E954B6" w:rsidRDefault="00E954B6" w:rsidP="00E954B6">
                        <w:pPr>
                          <w:pStyle w:val="NoSpacing"/>
                          <w:spacing w:before="120"/>
                          <w:jc w:val="center"/>
                          <w:rPr>
                            <w:color w:val="FFFFFF" w:themeColor="background1"/>
                          </w:rPr>
                        </w:pPr>
                        <w:r>
                          <w:rPr>
                            <w:caps/>
                            <w:color w:val="FFFFFF" w:themeColor="background1"/>
                          </w:rPr>
                          <w:t>INTERWORK INSTITUTE</w:t>
                        </w:r>
                      </w:p>
                      <w:p w14:paraId="13BEE1A3" w14:textId="77777777" w:rsidR="00E954B6" w:rsidRDefault="00E954B6" w:rsidP="00E954B6">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14170;top:13636;width:68579;height:30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CE2DBAC" w14:textId="77777777" w:rsidR="00E954B6" w:rsidRPr="003B1D7D" w:rsidRDefault="00E954B6" w:rsidP="00E954B6">
                        <w:pPr>
                          <w:pStyle w:val="NoSpacing"/>
                          <w:jc w:val="center"/>
                          <w:rPr>
                            <w:rFonts w:ascii="Cambria" w:eastAsiaTheme="majorEastAsia" w:hAnsi="Cambria" w:cstheme="majorBidi"/>
                            <w:caps/>
                            <w:color w:val="2E74B5" w:themeColor="accent1" w:themeShade="BF"/>
                            <w:sz w:val="300"/>
                            <w:szCs w:val="72"/>
                          </w:rPr>
                        </w:pPr>
                        <w:r w:rsidRPr="003B1D7D">
                          <w:rPr>
                            <w:rFonts w:ascii="Cambria" w:hAnsi="Cambria"/>
                            <w:noProof/>
                            <w:color w:val="2E74B5" w:themeColor="accent1" w:themeShade="BF"/>
                            <w:sz w:val="96"/>
                          </w:rPr>
                          <w:t>VRTAC-QM</w:t>
                        </w:r>
                      </w:p>
                      <w:p w14:paraId="46120477" w14:textId="77777777" w:rsidR="00E954B6" w:rsidRPr="0045221A" w:rsidRDefault="00E954B6" w:rsidP="00E954B6">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Semi-Annual</w:t>
                        </w:r>
                        <w:r w:rsidRPr="0045221A">
                          <w:rPr>
                            <w:rFonts w:ascii="Cambria" w:eastAsiaTheme="majorEastAsia" w:hAnsi="Cambria" w:cstheme="majorBidi"/>
                            <w:caps/>
                            <w:color w:val="5B9BD5" w:themeColor="accent1"/>
                            <w:sz w:val="72"/>
                            <w:szCs w:val="72"/>
                          </w:rPr>
                          <w:t xml:space="preserve"> </w:t>
                        </w:r>
                        <w:r>
                          <w:rPr>
                            <w:rFonts w:ascii="Cambria" w:eastAsiaTheme="majorEastAsia" w:hAnsi="Cambria" w:cstheme="majorBidi"/>
                            <w:caps/>
                            <w:color w:val="5B9BD5" w:themeColor="accent1"/>
                            <w:sz w:val="72"/>
                            <w:szCs w:val="72"/>
                          </w:rPr>
                          <w:t xml:space="preserve">Performance and FIscal </w:t>
                        </w:r>
                        <w:r w:rsidRPr="0045221A">
                          <w:rPr>
                            <w:rFonts w:ascii="Cambria" w:eastAsiaTheme="majorEastAsia" w:hAnsi="Cambria" w:cstheme="majorBidi"/>
                            <w:caps/>
                            <w:color w:val="5B9BD5" w:themeColor="accent1"/>
                            <w:sz w:val="72"/>
                            <w:szCs w:val="72"/>
                          </w:rPr>
                          <w:t>Report</w:t>
                        </w:r>
                      </w:p>
                    </w:txbxContent>
                  </v:textbox>
                </v:shape>
                <w10:wrap anchorx="margin" anchory="margin"/>
              </v:group>
            </w:pict>
          </mc:Fallback>
        </mc:AlternateContent>
      </w:r>
      <w:r>
        <w:rPr>
          <w:bCs/>
        </w:rPr>
        <w:br w:type="page"/>
      </w:r>
    </w:p>
    <w:p w14:paraId="6995A255" w14:textId="77777777" w:rsidR="00E954B6" w:rsidRDefault="00E954B6" w:rsidP="00E954B6">
      <w:pPr>
        <w:pStyle w:val="Heading1"/>
      </w:pPr>
      <w:bookmarkStart w:id="0" w:name="_Toc102116128"/>
      <w:r>
        <w:lastRenderedPageBreak/>
        <w:t>Executive Summary</w:t>
      </w:r>
      <w:bookmarkEnd w:id="0"/>
    </w:p>
    <w:p w14:paraId="5FC72EC8" w14:textId="0F922214" w:rsidR="00D8348E" w:rsidRDefault="00D8348E" w:rsidP="00E954B6">
      <w:pPr>
        <w:spacing w:before="120"/>
        <w:rPr>
          <w:bCs/>
        </w:rPr>
      </w:pPr>
      <w:r>
        <w:rPr>
          <w:bCs/>
        </w:rPr>
        <w:t xml:space="preserve">At the end of the second quarter of Year Two, the VRTAC-QM completed eight intensive TA agreements (ITAAs). At the end of the quarter there were two ITAAs out for signature, and as of this writing, these two have been returned, so we are at ten ITAAs currently. This is our target for the entire period of Year Two, so the center is well ahead of our target. The VR agencies we have ITAAs with include: </w:t>
      </w:r>
    </w:p>
    <w:p w14:paraId="775A9D79" w14:textId="77777777" w:rsidR="00D8348E" w:rsidRDefault="00D8348E" w:rsidP="00615183">
      <w:pPr>
        <w:pStyle w:val="ListParagraph"/>
        <w:numPr>
          <w:ilvl w:val="0"/>
          <w:numId w:val="17"/>
        </w:numPr>
        <w:spacing w:before="120" w:after="120"/>
      </w:pPr>
      <w:r>
        <w:t>Arkansas Blind</w:t>
      </w:r>
    </w:p>
    <w:p w14:paraId="6A581D98" w14:textId="77777777" w:rsidR="00D8348E" w:rsidRDefault="00D8348E" w:rsidP="00615183">
      <w:pPr>
        <w:pStyle w:val="ListParagraph"/>
        <w:numPr>
          <w:ilvl w:val="0"/>
          <w:numId w:val="17"/>
        </w:numPr>
        <w:spacing w:before="120" w:after="120"/>
      </w:pPr>
      <w:r>
        <w:t>Delaware Blind</w:t>
      </w:r>
    </w:p>
    <w:p w14:paraId="51744D20" w14:textId="77777777" w:rsidR="00D8348E" w:rsidRDefault="00D8348E" w:rsidP="00615183">
      <w:pPr>
        <w:pStyle w:val="ListParagraph"/>
        <w:numPr>
          <w:ilvl w:val="0"/>
          <w:numId w:val="17"/>
        </w:numPr>
        <w:spacing w:before="120" w:after="120"/>
      </w:pPr>
      <w:r>
        <w:t>Florida General (after the quarter ended)</w:t>
      </w:r>
    </w:p>
    <w:p w14:paraId="75BF9698" w14:textId="77777777" w:rsidR="00D8348E" w:rsidRDefault="00D8348E" w:rsidP="00615183">
      <w:pPr>
        <w:pStyle w:val="ListParagraph"/>
        <w:numPr>
          <w:ilvl w:val="0"/>
          <w:numId w:val="17"/>
        </w:numPr>
        <w:spacing w:before="120" w:after="120"/>
      </w:pPr>
      <w:r>
        <w:t>Hawaii Combined (after the quarter ended)</w:t>
      </w:r>
    </w:p>
    <w:p w14:paraId="52013A7B" w14:textId="77777777" w:rsidR="00D8348E" w:rsidRDefault="00D8348E" w:rsidP="00615183">
      <w:pPr>
        <w:pStyle w:val="ListParagraph"/>
        <w:numPr>
          <w:ilvl w:val="0"/>
          <w:numId w:val="17"/>
        </w:numPr>
        <w:spacing w:before="120" w:after="120"/>
      </w:pPr>
      <w:r>
        <w:t xml:space="preserve">Kansas Combined </w:t>
      </w:r>
    </w:p>
    <w:p w14:paraId="142D64DE" w14:textId="77777777" w:rsidR="00D8348E" w:rsidRDefault="00D8348E" w:rsidP="00615183">
      <w:pPr>
        <w:pStyle w:val="ListParagraph"/>
        <w:numPr>
          <w:ilvl w:val="0"/>
          <w:numId w:val="17"/>
        </w:numPr>
        <w:spacing w:before="120" w:after="120"/>
      </w:pPr>
      <w:r>
        <w:t xml:space="preserve">Maryland Combined </w:t>
      </w:r>
    </w:p>
    <w:p w14:paraId="2C834682" w14:textId="77777777" w:rsidR="00D8348E" w:rsidRDefault="00D8348E" w:rsidP="00615183">
      <w:pPr>
        <w:pStyle w:val="ListParagraph"/>
        <w:numPr>
          <w:ilvl w:val="0"/>
          <w:numId w:val="17"/>
        </w:numPr>
        <w:spacing w:before="120" w:after="120"/>
      </w:pPr>
      <w:r>
        <w:t>Montana Combined</w:t>
      </w:r>
    </w:p>
    <w:p w14:paraId="4334A2FF" w14:textId="77777777" w:rsidR="00D8348E" w:rsidRDefault="00D8348E" w:rsidP="00615183">
      <w:pPr>
        <w:pStyle w:val="ListParagraph"/>
        <w:numPr>
          <w:ilvl w:val="0"/>
          <w:numId w:val="17"/>
        </w:numPr>
        <w:spacing w:before="120" w:after="120"/>
      </w:pPr>
      <w:r>
        <w:t>Pennsylvania Combined</w:t>
      </w:r>
    </w:p>
    <w:p w14:paraId="555DEC33" w14:textId="77777777" w:rsidR="00D8348E" w:rsidRDefault="00D8348E" w:rsidP="00615183">
      <w:pPr>
        <w:pStyle w:val="ListParagraph"/>
        <w:numPr>
          <w:ilvl w:val="0"/>
          <w:numId w:val="17"/>
        </w:numPr>
        <w:spacing w:before="120" w:after="120"/>
      </w:pPr>
      <w:r>
        <w:t>Washington Blind</w:t>
      </w:r>
    </w:p>
    <w:p w14:paraId="0F3B3905" w14:textId="77777777" w:rsidR="00D8348E" w:rsidRDefault="00D8348E" w:rsidP="00615183">
      <w:pPr>
        <w:pStyle w:val="ListParagraph"/>
        <w:numPr>
          <w:ilvl w:val="0"/>
          <w:numId w:val="17"/>
        </w:numPr>
        <w:spacing w:before="120" w:after="120"/>
      </w:pPr>
      <w:r>
        <w:t xml:space="preserve">Wyoming Combined </w:t>
      </w:r>
    </w:p>
    <w:p w14:paraId="6E073C25" w14:textId="77777777" w:rsidR="00D8348E" w:rsidRDefault="00D8348E" w:rsidP="00D8348E">
      <w:r>
        <w:t>There are SWOTS scheduled for New Mexico General and Kentucky Combined that will be completed in the second half of Year Two and a SWOT for South Carolina has been completed that will likely result in intensive TA.</w:t>
      </w:r>
    </w:p>
    <w:p w14:paraId="269B54A6" w14:textId="77777777" w:rsidR="00D8348E" w:rsidRDefault="00D8348E" w:rsidP="00D8348E">
      <w:r>
        <w:t>Targeted TA has been extremely active for the VRTAC-QM since its inception. To date we have provided at least targeted TA to 72 of the 78 VR agencies (92%) in 761 targeted TA events serving 4,262 VR staff. These totals far exceed our target rates in every area.</w:t>
      </w:r>
    </w:p>
    <w:p w14:paraId="300B2BDD" w14:textId="77777777" w:rsidR="00D8348E" w:rsidRDefault="00D8348E" w:rsidP="00D8348E">
      <w:r>
        <w:t>Universal TA is delivered primarily through our website, which has added content daily. We have completed multiple webinars, many in partnership with other TA Centers and have recorded 13 podcasts to date that are available on the site. The VRTAC-QM have made multiple conference presentations to CSAVR, NCSAB, NCRE and the Summit Group’s Program Evaluation and Quality Assurance conference.</w:t>
      </w:r>
    </w:p>
    <w:p w14:paraId="379E82AB" w14:textId="77777777" w:rsidR="00D8348E" w:rsidRDefault="00D8348E" w:rsidP="00D8348E">
      <w:r>
        <w:t xml:space="preserve">We launched our VR Grants Management Certificate training through Management Concepts right after the end of the quarter and have developed training based on emerging topics and need in the management of the VR program including rapid engagement of VR consumers. In </w:t>
      </w:r>
      <w:proofErr w:type="gramStart"/>
      <w:r>
        <w:t>addition</w:t>
      </w:r>
      <w:proofErr w:type="gramEnd"/>
      <w:r>
        <w:t xml:space="preserve"> there are multiple trainings available on the VRTAC-QM website.</w:t>
      </w:r>
    </w:p>
    <w:p w14:paraId="5707BB9A" w14:textId="77777777" w:rsidR="00D8348E" w:rsidRDefault="00D8348E" w:rsidP="00D8348E">
      <w:r>
        <w:t>The special projects are moving slower than we hoped, but the CRA project made considerable progress this quarter. We are hoping to have two pilot sites identified by the end of this year and operations early in Year Three. We are refocusing the SARA pilot away from the SSA reimbursement focus to the overall quality management of the VR program and anticipate that this will increase demand significantly.</w:t>
      </w:r>
    </w:p>
    <w:p w14:paraId="5EEB3A08" w14:textId="08132603" w:rsidR="005F759E" w:rsidRDefault="00D8348E">
      <w:r>
        <w:t xml:space="preserve">The demand for quality program and performance, and fiscal and resource management is very </w:t>
      </w:r>
      <w:proofErr w:type="gramStart"/>
      <w:r>
        <w:t>high</w:t>
      </w:r>
      <w:proofErr w:type="gramEnd"/>
      <w:r>
        <w:t xml:space="preserve"> and we have the capacity to continue activities and wish to continue to receive a non-competing continuation award.</w:t>
      </w:r>
      <w:r w:rsidR="005F759E">
        <w:br w:type="page"/>
      </w:r>
    </w:p>
    <w:sdt>
      <w:sdtPr>
        <w:rPr>
          <w:rFonts w:ascii="Times New Roman" w:eastAsiaTheme="minorHAnsi" w:hAnsi="Times New Roman" w:cs="Times New Roman"/>
          <w:color w:val="auto"/>
          <w:sz w:val="24"/>
          <w:szCs w:val="24"/>
        </w:rPr>
        <w:id w:val="1089509989"/>
        <w:docPartObj>
          <w:docPartGallery w:val="Table of Contents"/>
          <w:docPartUnique/>
        </w:docPartObj>
      </w:sdtPr>
      <w:sdtEndPr>
        <w:rPr>
          <w:b/>
          <w:bCs/>
          <w:noProof/>
        </w:rPr>
      </w:sdtEndPr>
      <w:sdtContent>
        <w:p w14:paraId="4BD0DDDD" w14:textId="0A905A77" w:rsidR="006E4029" w:rsidRDefault="006E4029">
          <w:pPr>
            <w:pStyle w:val="TOCHeading"/>
          </w:pPr>
          <w:r>
            <w:t>Contents</w:t>
          </w:r>
        </w:p>
        <w:p w14:paraId="6F801412" w14:textId="62252C98" w:rsidR="00E954B6" w:rsidRDefault="006E402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2116128" w:history="1">
            <w:r w:rsidR="00E954B6" w:rsidRPr="00E044F1">
              <w:rPr>
                <w:rStyle w:val="Hyperlink"/>
                <w:noProof/>
              </w:rPr>
              <w:t>Executive Summary</w:t>
            </w:r>
            <w:r w:rsidR="00E954B6">
              <w:rPr>
                <w:noProof/>
                <w:webHidden/>
              </w:rPr>
              <w:tab/>
            </w:r>
            <w:r w:rsidR="00E954B6">
              <w:rPr>
                <w:noProof/>
                <w:webHidden/>
              </w:rPr>
              <w:fldChar w:fldCharType="begin"/>
            </w:r>
            <w:r w:rsidR="00E954B6">
              <w:rPr>
                <w:noProof/>
                <w:webHidden/>
              </w:rPr>
              <w:instrText xml:space="preserve"> PAGEREF _Toc102116128 \h </w:instrText>
            </w:r>
            <w:r w:rsidR="00E954B6">
              <w:rPr>
                <w:noProof/>
                <w:webHidden/>
              </w:rPr>
            </w:r>
            <w:r w:rsidR="00E954B6">
              <w:rPr>
                <w:noProof/>
                <w:webHidden/>
              </w:rPr>
              <w:fldChar w:fldCharType="separate"/>
            </w:r>
            <w:r w:rsidR="00E954B6">
              <w:rPr>
                <w:noProof/>
                <w:webHidden/>
              </w:rPr>
              <w:t>1</w:t>
            </w:r>
            <w:r w:rsidR="00E954B6">
              <w:rPr>
                <w:noProof/>
                <w:webHidden/>
              </w:rPr>
              <w:fldChar w:fldCharType="end"/>
            </w:r>
          </w:hyperlink>
        </w:p>
        <w:p w14:paraId="1F8EFB9D" w14:textId="0AFDFF9D"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29" w:history="1">
            <w:r w:rsidR="00E954B6" w:rsidRPr="00E044F1">
              <w:rPr>
                <w:rStyle w:val="Hyperlink"/>
                <w:noProof/>
              </w:rPr>
              <w:t>Section A: Progress toward completion of goals, objectives, and outputs</w:t>
            </w:r>
            <w:r w:rsidR="00E954B6">
              <w:rPr>
                <w:noProof/>
                <w:webHidden/>
              </w:rPr>
              <w:tab/>
            </w:r>
            <w:r w:rsidR="00E954B6">
              <w:rPr>
                <w:noProof/>
                <w:webHidden/>
              </w:rPr>
              <w:fldChar w:fldCharType="begin"/>
            </w:r>
            <w:r w:rsidR="00E954B6">
              <w:rPr>
                <w:noProof/>
                <w:webHidden/>
              </w:rPr>
              <w:instrText xml:space="preserve"> PAGEREF _Toc102116129 \h </w:instrText>
            </w:r>
            <w:r w:rsidR="00E954B6">
              <w:rPr>
                <w:noProof/>
                <w:webHidden/>
              </w:rPr>
            </w:r>
            <w:r w:rsidR="00E954B6">
              <w:rPr>
                <w:noProof/>
                <w:webHidden/>
              </w:rPr>
              <w:fldChar w:fldCharType="separate"/>
            </w:r>
            <w:r w:rsidR="00E954B6">
              <w:rPr>
                <w:noProof/>
                <w:webHidden/>
              </w:rPr>
              <w:t>5</w:t>
            </w:r>
            <w:r w:rsidR="00E954B6">
              <w:rPr>
                <w:noProof/>
                <w:webHidden/>
              </w:rPr>
              <w:fldChar w:fldCharType="end"/>
            </w:r>
          </w:hyperlink>
        </w:p>
        <w:p w14:paraId="4B57804A" w14:textId="57B00486"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0" w:history="1">
            <w:r w:rsidR="00E954B6" w:rsidRPr="00E044F1">
              <w:rPr>
                <w:rStyle w:val="Hyperlink"/>
                <w:noProof/>
              </w:rPr>
              <w:t>Part 1: Program activities, outputs, and products</w:t>
            </w:r>
            <w:r w:rsidR="00E954B6">
              <w:rPr>
                <w:noProof/>
                <w:webHidden/>
              </w:rPr>
              <w:tab/>
            </w:r>
            <w:r w:rsidR="00E954B6">
              <w:rPr>
                <w:noProof/>
                <w:webHidden/>
              </w:rPr>
              <w:fldChar w:fldCharType="begin"/>
            </w:r>
            <w:r w:rsidR="00E954B6">
              <w:rPr>
                <w:noProof/>
                <w:webHidden/>
              </w:rPr>
              <w:instrText xml:space="preserve"> PAGEREF _Toc102116130 \h </w:instrText>
            </w:r>
            <w:r w:rsidR="00E954B6">
              <w:rPr>
                <w:noProof/>
                <w:webHidden/>
              </w:rPr>
            </w:r>
            <w:r w:rsidR="00E954B6">
              <w:rPr>
                <w:noProof/>
                <w:webHidden/>
              </w:rPr>
              <w:fldChar w:fldCharType="separate"/>
            </w:r>
            <w:r w:rsidR="00E954B6">
              <w:rPr>
                <w:noProof/>
                <w:webHidden/>
              </w:rPr>
              <w:t>5</w:t>
            </w:r>
            <w:r w:rsidR="00E954B6">
              <w:rPr>
                <w:noProof/>
                <w:webHidden/>
              </w:rPr>
              <w:fldChar w:fldCharType="end"/>
            </w:r>
          </w:hyperlink>
        </w:p>
        <w:p w14:paraId="76E170F2" w14:textId="34E3CB1E"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1" w:history="1">
            <w:r w:rsidR="00E954B6" w:rsidRPr="00E044F1">
              <w:rPr>
                <w:rStyle w:val="Hyperlink"/>
                <w:noProof/>
              </w:rPr>
              <w:t>Intensive TA agreement development and progress on activities, outputs, and outcomes:</w:t>
            </w:r>
            <w:r w:rsidR="00E954B6">
              <w:rPr>
                <w:noProof/>
                <w:webHidden/>
              </w:rPr>
              <w:tab/>
            </w:r>
            <w:r w:rsidR="00E954B6">
              <w:rPr>
                <w:noProof/>
                <w:webHidden/>
              </w:rPr>
              <w:fldChar w:fldCharType="begin"/>
            </w:r>
            <w:r w:rsidR="00E954B6">
              <w:rPr>
                <w:noProof/>
                <w:webHidden/>
              </w:rPr>
              <w:instrText xml:space="preserve"> PAGEREF _Toc102116131 \h </w:instrText>
            </w:r>
            <w:r w:rsidR="00E954B6">
              <w:rPr>
                <w:noProof/>
                <w:webHidden/>
              </w:rPr>
            </w:r>
            <w:r w:rsidR="00E954B6">
              <w:rPr>
                <w:noProof/>
                <w:webHidden/>
              </w:rPr>
              <w:fldChar w:fldCharType="separate"/>
            </w:r>
            <w:r w:rsidR="00E954B6">
              <w:rPr>
                <w:noProof/>
                <w:webHidden/>
              </w:rPr>
              <w:t>5</w:t>
            </w:r>
            <w:r w:rsidR="00E954B6">
              <w:rPr>
                <w:noProof/>
                <w:webHidden/>
              </w:rPr>
              <w:fldChar w:fldCharType="end"/>
            </w:r>
          </w:hyperlink>
        </w:p>
        <w:p w14:paraId="41B6DA7E" w14:textId="61CF95DD"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2" w:history="1">
            <w:r w:rsidR="00E954B6" w:rsidRPr="00E044F1">
              <w:rPr>
                <w:rStyle w:val="Hyperlink"/>
                <w:noProof/>
              </w:rPr>
              <w:t>SWOT assessment tools development and assessments conducted</w:t>
            </w:r>
            <w:r w:rsidR="00E954B6">
              <w:rPr>
                <w:noProof/>
                <w:webHidden/>
              </w:rPr>
              <w:tab/>
            </w:r>
            <w:r w:rsidR="00E954B6">
              <w:rPr>
                <w:noProof/>
                <w:webHidden/>
              </w:rPr>
              <w:fldChar w:fldCharType="begin"/>
            </w:r>
            <w:r w:rsidR="00E954B6">
              <w:rPr>
                <w:noProof/>
                <w:webHidden/>
              </w:rPr>
              <w:instrText xml:space="preserve"> PAGEREF _Toc102116132 \h </w:instrText>
            </w:r>
            <w:r w:rsidR="00E954B6">
              <w:rPr>
                <w:noProof/>
                <w:webHidden/>
              </w:rPr>
            </w:r>
            <w:r w:rsidR="00E954B6">
              <w:rPr>
                <w:noProof/>
                <w:webHidden/>
              </w:rPr>
              <w:fldChar w:fldCharType="separate"/>
            </w:r>
            <w:r w:rsidR="00E954B6">
              <w:rPr>
                <w:noProof/>
                <w:webHidden/>
              </w:rPr>
              <w:t>12</w:t>
            </w:r>
            <w:r w:rsidR="00E954B6">
              <w:rPr>
                <w:noProof/>
                <w:webHidden/>
              </w:rPr>
              <w:fldChar w:fldCharType="end"/>
            </w:r>
          </w:hyperlink>
        </w:p>
        <w:p w14:paraId="1EE8E0E1" w14:textId="5AE88964"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3" w:history="1">
            <w:r w:rsidR="00E954B6" w:rsidRPr="00E044F1">
              <w:rPr>
                <w:rStyle w:val="Hyperlink"/>
                <w:noProof/>
              </w:rPr>
              <w:t>Program Evaluation:</w:t>
            </w:r>
            <w:r w:rsidR="00E954B6">
              <w:rPr>
                <w:noProof/>
                <w:webHidden/>
              </w:rPr>
              <w:tab/>
            </w:r>
            <w:r w:rsidR="00E954B6">
              <w:rPr>
                <w:noProof/>
                <w:webHidden/>
              </w:rPr>
              <w:fldChar w:fldCharType="begin"/>
            </w:r>
            <w:r w:rsidR="00E954B6">
              <w:rPr>
                <w:noProof/>
                <w:webHidden/>
              </w:rPr>
              <w:instrText xml:space="preserve"> PAGEREF _Toc102116133 \h </w:instrText>
            </w:r>
            <w:r w:rsidR="00E954B6">
              <w:rPr>
                <w:noProof/>
                <w:webHidden/>
              </w:rPr>
            </w:r>
            <w:r w:rsidR="00E954B6">
              <w:rPr>
                <w:noProof/>
                <w:webHidden/>
              </w:rPr>
              <w:fldChar w:fldCharType="separate"/>
            </w:r>
            <w:r w:rsidR="00E954B6">
              <w:rPr>
                <w:noProof/>
                <w:webHidden/>
              </w:rPr>
              <w:t>13</w:t>
            </w:r>
            <w:r w:rsidR="00E954B6">
              <w:rPr>
                <w:noProof/>
                <w:webHidden/>
              </w:rPr>
              <w:fldChar w:fldCharType="end"/>
            </w:r>
          </w:hyperlink>
        </w:p>
        <w:p w14:paraId="6707C7B1" w14:textId="492C15F2"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34" w:history="1">
            <w:r w:rsidR="00E954B6" w:rsidRPr="00E044F1">
              <w:rPr>
                <w:rStyle w:val="Hyperlink"/>
                <w:noProof/>
              </w:rPr>
              <w:t>Targeted TA</w:t>
            </w:r>
            <w:r w:rsidR="00E954B6">
              <w:rPr>
                <w:noProof/>
                <w:webHidden/>
              </w:rPr>
              <w:tab/>
            </w:r>
            <w:r w:rsidR="00E954B6">
              <w:rPr>
                <w:noProof/>
                <w:webHidden/>
              </w:rPr>
              <w:fldChar w:fldCharType="begin"/>
            </w:r>
            <w:r w:rsidR="00E954B6">
              <w:rPr>
                <w:noProof/>
                <w:webHidden/>
              </w:rPr>
              <w:instrText xml:space="preserve"> PAGEREF _Toc102116134 \h </w:instrText>
            </w:r>
            <w:r w:rsidR="00E954B6">
              <w:rPr>
                <w:noProof/>
                <w:webHidden/>
              </w:rPr>
            </w:r>
            <w:r w:rsidR="00E954B6">
              <w:rPr>
                <w:noProof/>
                <w:webHidden/>
              </w:rPr>
              <w:fldChar w:fldCharType="separate"/>
            </w:r>
            <w:r w:rsidR="00E954B6">
              <w:rPr>
                <w:noProof/>
                <w:webHidden/>
              </w:rPr>
              <w:t>13</w:t>
            </w:r>
            <w:r w:rsidR="00E954B6">
              <w:rPr>
                <w:noProof/>
                <w:webHidden/>
              </w:rPr>
              <w:fldChar w:fldCharType="end"/>
            </w:r>
          </w:hyperlink>
        </w:p>
        <w:p w14:paraId="3084B4BB" w14:textId="4D78C9F8"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5" w:history="1">
            <w:r w:rsidR="00E954B6" w:rsidRPr="00E044F1">
              <w:rPr>
                <w:rStyle w:val="Hyperlink"/>
                <w:noProof/>
              </w:rPr>
              <w:t>Number of events by type, topic, agency and number served:</w:t>
            </w:r>
            <w:r w:rsidR="00E954B6">
              <w:rPr>
                <w:noProof/>
                <w:webHidden/>
              </w:rPr>
              <w:tab/>
            </w:r>
            <w:r w:rsidR="00E954B6">
              <w:rPr>
                <w:noProof/>
                <w:webHidden/>
              </w:rPr>
              <w:fldChar w:fldCharType="begin"/>
            </w:r>
            <w:r w:rsidR="00E954B6">
              <w:rPr>
                <w:noProof/>
                <w:webHidden/>
              </w:rPr>
              <w:instrText xml:space="preserve"> PAGEREF _Toc102116135 \h </w:instrText>
            </w:r>
            <w:r w:rsidR="00E954B6">
              <w:rPr>
                <w:noProof/>
                <w:webHidden/>
              </w:rPr>
            </w:r>
            <w:r w:rsidR="00E954B6">
              <w:rPr>
                <w:noProof/>
                <w:webHidden/>
              </w:rPr>
              <w:fldChar w:fldCharType="separate"/>
            </w:r>
            <w:r w:rsidR="00E954B6">
              <w:rPr>
                <w:noProof/>
                <w:webHidden/>
              </w:rPr>
              <w:t>13</w:t>
            </w:r>
            <w:r w:rsidR="00E954B6">
              <w:rPr>
                <w:noProof/>
                <w:webHidden/>
              </w:rPr>
              <w:fldChar w:fldCharType="end"/>
            </w:r>
          </w:hyperlink>
        </w:p>
        <w:p w14:paraId="6E164532" w14:textId="07E2A291"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6" w:history="1">
            <w:r w:rsidR="00E954B6" w:rsidRPr="00E044F1">
              <w:rPr>
                <w:rStyle w:val="Hyperlink"/>
                <w:noProof/>
              </w:rPr>
              <w:t>Targeted TA of Note:</w:t>
            </w:r>
            <w:r w:rsidR="00E954B6">
              <w:rPr>
                <w:noProof/>
                <w:webHidden/>
              </w:rPr>
              <w:tab/>
            </w:r>
            <w:r w:rsidR="00E954B6">
              <w:rPr>
                <w:noProof/>
                <w:webHidden/>
              </w:rPr>
              <w:fldChar w:fldCharType="begin"/>
            </w:r>
            <w:r w:rsidR="00E954B6">
              <w:rPr>
                <w:noProof/>
                <w:webHidden/>
              </w:rPr>
              <w:instrText xml:space="preserve"> PAGEREF _Toc102116136 \h </w:instrText>
            </w:r>
            <w:r w:rsidR="00E954B6">
              <w:rPr>
                <w:noProof/>
                <w:webHidden/>
              </w:rPr>
            </w:r>
            <w:r w:rsidR="00E954B6">
              <w:rPr>
                <w:noProof/>
                <w:webHidden/>
              </w:rPr>
              <w:fldChar w:fldCharType="separate"/>
            </w:r>
            <w:r w:rsidR="00E954B6">
              <w:rPr>
                <w:noProof/>
                <w:webHidden/>
              </w:rPr>
              <w:t>16</w:t>
            </w:r>
            <w:r w:rsidR="00E954B6">
              <w:rPr>
                <w:noProof/>
                <w:webHidden/>
              </w:rPr>
              <w:fldChar w:fldCharType="end"/>
            </w:r>
          </w:hyperlink>
        </w:p>
        <w:p w14:paraId="67697224" w14:textId="77D9E39F"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7" w:history="1">
            <w:r w:rsidR="00E954B6" w:rsidRPr="00E044F1">
              <w:rPr>
                <w:rStyle w:val="Hyperlink"/>
                <w:noProof/>
              </w:rPr>
              <w:t>Webinars and other web-based TA or Information:</w:t>
            </w:r>
            <w:r w:rsidR="00E954B6">
              <w:rPr>
                <w:noProof/>
                <w:webHidden/>
              </w:rPr>
              <w:tab/>
            </w:r>
            <w:r w:rsidR="00E954B6">
              <w:rPr>
                <w:noProof/>
                <w:webHidden/>
              </w:rPr>
              <w:fldChar w:fldCharType="begin"/>
            </w:r>
            <w:r w:rsidR="00E954B6">
              <w:rPr>
                <w:noProof/>
                <w:webHidden/>
              </w:rPr>
              <w:instrText xml:space="preserve"> PAGEREF _Toc102116137 \h </w:instrText>
            </w:r>
            <w:r w:rsidR="00E954B6">
              <w:rPr>
                <w:noProof/>
                <w:webHidden/>
              </w:rPr>
            </w:r>
            <w:r w:rsidR="00E954B6">
              <w:rPr>
                <w:noProof/>
                <w:webHidden/>
              </w:rPr>
              <w:fldChar w:fldCharType="separate"/>
            </w:r>
            <w:r w:rsidR="00E954B6">
              <w:rPr>
                <w:noProof/>
                <w:webHidden/>
              </w:rPr>
              <w:t>18</w:t>
            </w:r>
            <w:r w:rsidR="00E954B6">
              <w:rPr>
                <w:noProof/>
                <w:webHidden/>
              </w:rPr>
              <w:fldChar w:fldCharType="end"/>
            </w:r>
          </w:hyperlink>
        </w:p>
        <w:p w14:paraId="534CCD55" w14:textId="5CE6B91E"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8" w:history="1">
            <w:r w:rsidR="00E954B6" w:rsidRPr="00E044F1">
              <w:rPr>
                <w:rStyle w:val="Hyperlink"/>
                <w:noProof/>
              </w:rPr>
              <w:t>Trainings:</w:t>
            </w:r>
            <w:r w:rsidR="00E954B6">
              <w:rPr>
                <w:noProof/>
                <w:webHidden/>
              </w:rPr>
              <w:tab/>
            </w:r>
            <w:r w:rsidR="00E954B6">
              <w:rPr>
                <w:noProof/>
                <w:webHidden/>
              </w:rPr>
              <w:fldChar w:fldCharType="begin"/>
            </w:r>
            <w:r w:rsidR="00E954B6">
              <w:rPr>
                <w:noProof/>
                <w:webHidden/>
              </w:rPr>
              <w:instrText xml:space="preserve"> PAGEREF _Toc102116138 \h </w:instrText>
            </w:r>
            <w:r w:rsidR="00E954B6">
              <w:rPr>
                <w:noProof/>
                <w:webHidden/>
              </w:rPr>
            </w:r>
            <w:r w:rsidR="00E954B6">
              <w:rPr>
                <w:noProof/>
                <w:webHidden/>
              </w:rPr>
              <w:fldChar w:fldCharType="separate"/>
            </w:r>
            <w:r w:rsidR="00E954B6">
              <w:rPr>
                <w:noProof/>
                <w:webHidden/>
              </w:rPr>
              <w:t>18</w:t>
            </w:r>
            <w:r w:rsidR="00E954B6">
              <w:rPr>
                <w:noProof/>
                <w:webHidden/>
              </w:rPr>
              <w:fldChar w:fldCharType="end"/>
            </w:r>
          </w:hyperlink>
        </w:p>
        <w:p w14:paraId="446E1231" w14:textId="12CC9CD3"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39" w:history="1">
            <w:r w:rsidR="00E954B6" w:rsidRPr="00E044F1">
              <w:rPr>
                <w:rStyle w:val="Hyperlink"/>
                <w:noProof/>
              </w:rPr>
              <w:t>Communities of Practice:</w:t>
            </w:r>
            <w:r w:rsidR="00E954B6">
              <w:rPr>
                <w:noProof/>
                <w:webHidden/>
              </w:rPr>
              <w:tab/>
            </w:r>
            <w:r w:rsidR="00E954B6">
              <w:rPr>
                <w:noProof/>
                <w:webHidden/>
              </w:rPr>
              <w:fldChar w:fldCharType="begin"/>
            </w:r>
            <w:r w:rsidR="00E954B6">
              <w:rPr>
                <w:noProof/>
                <w:webHidden/>
              </w:rPr>
              <w:instrText xml:space="preserve"> PAGEREF _Toc102116139 \h </w:instrText>
            </w:r>
            <w:r w:rsidR="00E954B6">
              <w:rPr>
                <w:noProof/>
                <w:webHidden/>
              </w:rPr>
            </w:r>
            <w:r w:rsidR="00E954B6">
              <w:rPr>
                <w:noProof/>
                <w:webHidden/>
              </w:rPr>
              <w:fldChar w:fldCharType="separate"/>
            </w:r>
            <w:r w:rsidR="00E954B6">
              <w:rPr>
                <w:noProof/>
                <w:webHidden/>
              </w:rPr>
              <w:t>19</w:t>
            </w:r>
            <w:r w:rsidR="00E954B6">
              <w:rPr>
                <w:noProof/>
                <w:webHidden/>
              </w:rPr>
              <w:fldChar w:fldCharType="end"/>
            </w:r>
          </w:hyperlink>
        </w:p>
        <w:p w14:paraId="4DBCB33F" w14:textId="21493803"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0" w:history="1">
            <w:r w:rsidR="00E954B6" w:rsidRPr="00E044F1">
              <w:rPr>
                <w:rStyle w:val="Hyperlink"/>
                <w:noProof/>
              </w:rPr>
              <w:t>Distribution Lists:</w:t>
            </w:r>
            <w:r w:rsidR="00E954B6">
              <w:rPr>
                <w:noProof/>
                <w:webHidden/>
              </w:rPr>
              <w:tab/>
            </w:r>
            <w:r w:rsidR="00E954B6">
              <w:rPr>
                <w:noProof/>
                <w:webHidden/>
              </w:rPr>
              <w:fldChar w:fldCharType="begin"/>
            </w:r>
            <w:r w:rsidR="00E954B6">
              <w:rPr>
                <w:noProof/>
                <w:webHidden/>
              </w:rPr>
              <w:instrText xml:space="preserve"> PAGEREF _Toc102116140 \h </w:instrText>
            </w:r>
            <w:r w:rsidR="00E954B6">
              <w:rPr>
                <w:noProof/>
                <w:webHidden/>
              </w:rPr>
            </w:r>
            <w:r w:rsidR="00E954B6">
              <w:rPr>
                <w:noProof/>
                <w:webHidden/>
              </w:rPr>
              <w:fldChar w:fldCharType="separate"/>
            </w:r>
            <w:r w:rsidR="00E954B6">
              <w:rPr>
                <w:noProof/>
                <w:webHidden/>
              </w:rPr>
              <w:t>21</w:t>
            </w:r>
            <w:r w:rsidR="00E954B6">
              <w:rPr>
                <w:noProof/>
                <w:webHidden/>
              </w:rPr>
              <w:fldChar w:fldCharType="end"/>
            </w:r>
          </w:hyperlink>
        </w:p>
        <w:p w14:paraId="5B3562BC" w14:textId="201B2C3E"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1" w:history="1">
            <w:r w:rsidR="00E954B6" w:rsidRPr="00E044F1">
              <w:rPr>
                <w:rStyle w:val="Hyperlink"/>
                <w:noProof/>
              </w:rPr>
              <w:t>Executive Leadership Seminar Series:</w:t>
            </w:r>
            <w:r w:rsidR="00E954B6">
              <w:rPr>
                <w:noProof/>
                <w:webHidden/>
              </w:rPr>
              <w:tab/>
            </w:r>
            <w:r w:rsidR="00E954B6">
              <w:rPr>
                <w:noProof/>
                <w:webHidden/>
              </w:rPr>
              <w:fldChar w:fldCharType="begin"/>
            </w:r>
            <w:r w:rsidR="00E954B6">
              <w:rPr>
                <w:noProof/>
                <w:webHidden/>
              </w:rPr>
              <w:instrText xml:space="preserve"> PAGEREF _Toc102116141 \h </w:instrText>
            </w:r>
            <w:r w:rsidR="00E954B6">
              <w:rPr>
                <w:noProof/>
                <w:webHidden/>
              </w:rPr>
            </w:r>
            <w:r w:rsidR="00E954B6">
              <w:rPr>
                <w:noProof/>
                <w:webHidden/>
              </w:rPr>
              <w:fldChar w:fldCharType="separate"/>
            </w:r>
            <w:r w:rsidR="00E954B6">
              <w:rPr>
                <w:noProof/>
                <w:webHidden/>
              </w:rPr>
              <w:t>21</w:t>
            </w:r>
            <w:r w:rsidR="00E954B6">
              <w:rPr>
                <w:noProof/>
                <w:webHidden/>
              </w:rPr>
              <w:fldChar w:fldCharType="end"/>
            </w:r>
          </w:hyperlink>
        </w:p>
        <w:p w14:paraId="2A19A0E3" w14:textId="3C11418C"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2" w:history="1">
            <w:r w:rsidR="00E954B6" w:rsidRPr="00E044F1">
              <w:rPr>
                <w:rStyle w:val="Hyperlink"/>
                <w:noProof/>
              </w:rPr>
              <w:t>Program Evaluation:</w:t>
            </w:r>
            <w:r w:rsidR="00E954B6">
              <w:rPr>
                <w:noProof/>
                <w:webHidden/>
              </w:rPr>
              <w:tab/>
            </w:r>
            <w:r w:rsidR="00E954B6">
              <w:rPr>
                <w:noProof/>
                <w:webHidden/>
              </w:rPr>
              <w:fldChar w:fldCharType="begin"/>
            </w:r>
            <w:r w:rsidR="00E954B6">
              <w:rPr>
                <w:noProof/>
                <w:webHidden/>
              </w:rPr>
              <w:instrText xml:space="preserve"> PAGEREF _Toc102116142 \h </w:instrText>
            </w:r>
            <w:r w:rsidR="00E954B6">
              <w:rPr>
                <w:noProof/>
                <w:webHidden/>
              </w:rPr>
            </w:r>
            <w:r w:rsidR="00E954B6">
              <w:rPr>
                <w:noProof/>
                <w:webHidden/>
              </w:rPr>
              <w:fldChar w:fldCharType="separate"/>
            </w:r>
            <w:r w:rsidR="00E954B6">
              <w:rPr>
                <w:noProof/>
                <w:webHidden/>
              </w:rPr>
              <w:t>21</w:t>
            </w:r>
            <w:r w:rsidR="00E954B6">
              <w:rPr>
                <w:noProof/>
                <w:webHidden/>
              </w:rPr>
              <w:fldChar w:fldCharType="end"/>
            </w:r>
          </w:hyperlink>
        </w:p>
        <w:p w14:paraId="343DEF18" w14:textId="76CAA15F"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43" w:history="1">
            <w:r w:rsidR="00E954B6" w:rsidRPr="00E044F1">
              <w:rPr>
                <w:rStyle w:val="Hyperlink"/>
                <w:noProof/>
              </w:rPr>
              <w:t>Universal TA</w:t>
            </w:r>
            <w:r w:rsidR="00E954B6">
              <w:rPr>
                <w:noProof/>
                <w:webHidden/>
              </w:rPr>
              <w:tab/>
            </w:r>
            <w:r w:rsidR="00E954B6">
              <w:rPr>
                <w:noProof/>
                <w:webHidden/>
              </w:rPr>
              <w:fldChar w:fldCharType="begin"/>
            </w:r>
            <w:r w:rsidR="00E954B6">
              <w:rPr>
                <w:noProof/>
                <w:webHidden/>
              </w:rPr>
              <w:instrText xml:space="preserve"> PAGEREF _Toc102116143 \h </w:instrText>
            </w:r>
            <w:r w:rsidR="00E954B6">
              <w:rPr>
                <w:noProof/>
                <w:webHidden/>
              </w:rPr>
            </w:r>
            <w:r w:rsidR="00E954B6">
              <w:rPr>
                <w:noProof/>
                <w:webHidden/>
              </w:rPr>
              <w:fldChar w:fldCharType="separate"/>
            </w:r>
            <w:r w:rsidR="00E954B6">
              <w:rPr>
                <w:noProof/>
                <w:webHidden/>
              </w:rPr>
              <w:t>22</w:t>
            </w:r>
            <w:r w:rsidR="00E954B6">
              <w:rPr>
                <w:noProof/>
                <w:webHidden/>
              </w:rPr>
              <w:fldChar w:fldCharType="end"/>
            </w:r>
          </w:hyperlink>
        </w:p>
        <w:p w14:paraId="470A4243" w14:textId="55222DAE"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4" w:history="1">
            <w:r w:rsidR="00E954B6" w:rsidRPr="00E044F1">
              <w:rPr>
                <w:rStyle w:val="Hyperlink"/>
                <w:noProof/>
              </w:rPr>
              <w:t>Website Analytics (1-1-22 to 3-31-22):</w:t>
            </w:r>
            <w:r w:rsidR="00E954B6">
              <w:rPr>
                <w:noProof/>
                <w:webHidden/>
              </w:rPr>
              <w:tab/>
            </w:r>
            <w:r w:rsidR="00E954B6">
              <w:rPr>
                <w:noProof/>
                <w:webHidden/>
              </w:rPr>
              <w:fldChar w:fldCharType="begin"/>
            </w:r>
            <w:r w:rsidR="00E954B6">
              <w:rPr>
                <w:noProof/>
                <w:webHidden/>
              </w:rPr>
              <w:instrText xml:space="preserve"> PAGEREF _Toc102116144 \h </w:instrText>
            </w:r>
            <w:r w:rsidR="00E954B6">
              <w:rPr>
                <w:noProof/>
                <w:webHidden/>
              </w:rPr>
            </w:r>
            <w:r w:rsidR="00E954B6">
              <w:rPr>
                <w:noProof/>
                <w:webHidden/>
              </w:rPr>
              <w:fldChar w:fldCharType="separate"/>
            </w:r>
            <w:r w:rsidR="00E954B6">
              <w:rPr>
                <w:noProof/>
                <w:webHidden/>
              </w:rPr>
              <w:t>22</w:t>
            </w:r>
            <w:r w:rsidR="00E954B6">
              <w:rPr>
                <w:noProof/>
                <w:webHidden/>
              </w:rPr>
              <w:fldChar w:fldCharType="end"/>
            </w:r>
          </w:hyperlink>
        </w:p>
        <w:p w14:paraId="6F9CD64F" w14:textId="101741CE"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5" w:history="1">
            <w:r w:rsidR="00E954B6" w:rsidRPr="00E044F1">
              <w:rPr>
                <w:rStyle w:val="Hyperlink"/>
                <w:noProof/>
              </w:rPr>
              <w:t>Universal TA of Note in the 2</w:t>
            </w:r>
            <w:r w:rsidR="00E954B6" w:rsidRPr="00E044F1">
              <w:rPr>
                <w:rStyle w:val="Hyperlink"/>
                <w:noProof/>
                <w:vertAlign w:val="superscript"/>
              </w:rPr>
              <w:t>nd</w:t>
            </w:r>
            <w:r w:rsidR="00E954B6" w:rsidRPr="00E044F1">
              <w:rPr>
                <w:rStyle w:val="Hyperlink"/>
                <w:noProof/>
              </w:rPr>
              <w:t xml:space="preserve"> Quarter:</w:t>
            </w:r>
            <w:r w:rsidR="00E954B6">
              <w:rPr>
                <w:noProof/>
                <w:webHidden/>
              </w:rPr>
              <w:tab/>
            </w:r>
            <w:r w:rsidR="00E954B6">
              <w:rPr>
                <w:noProof/>
                <w:webHidden/>
              </w:rPr>
              <w:fldChar w:fldCharType="begin"/>
            </w:r>
            <w:r w:rsidR="00E954B6">
              <w:rPr>
                <w:noProof/>
                <w:webHidden/>
              </w:rPr>
              <w:instrText xml:space="preserve"> PAGEREF _Toc102116145 \h </w:instrText>
            </w:r>
            <w:r w:rsidR="00E954B6">
              <w:rPr>
                <w:noProof/>
                <w:webHidden/>
              </w:rPr>
            </w:r>
            <w:r w:rsidR="00E954B6">
              <w:rPr>
                <w:noProof/>
                <w:webHidden/>
              </w:rPr>
              <w:fldChar w:fldCharType="separate"/>
            </w:r>
            <w:r w:rsidR="00E954B6">
              <w:rPr>
                <w:noProof/>
                <w:webHidden/>
              </w:rPr>
              <w:t>23</w:t>
            </w:r>
            <w:r w:rsidR="00E954B6">
              <w:rPr>
                <w:noProof/>
                <w:webHidden/>
              </w:rPr>
              <w:fldChar w:fldCharType="end"/>
            </w:r>
          </w:hyperlink>
        </w:p>
        <w:p w14:paraId="6ED689F6" w14:textId="1ABEC618"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46" w:history="1">
            <w:r w:rsidR="00E954B6" w:rsidRPr="00E044F1">
              <w:rPr>
                <w:rStyle w:val="Hyperlink"/>
                <w:noProof/>
              </w:rPr>
              <w:t>Collaboration with other TA Centers</w:t>
            </w:r>
            <w:r w:rsidR="00E954B6">
              <w:rPr>
                <w:noProof/>
                <w:webHidden/>
              </w:rPr>
              <w:tab/>
            </w:r>
            <w:r w:rsidR="00E954B6">
              <w:rPr>
                <w:noProof/>
                <w:webHidden/>
              </w:rPr>
              <w:fldChar w:fldCharType="begin"/>
            </w:r>
            <w:r w:rsidR="00E954B6">
              <w:rPr>
                <w:noProof/>
                <w:webHidden/>
              </w:rPr>
              <w:instrText xml:space="preserve"> PAGEREF _Toc102116146 \h </w:instrText>
            </w:r>
            <w:r w:rsidR="00E954B6">
              <w:rPr>
                <w:noProof/>
                <w:webHidden/>
              </w:rPr>
            </w:r>
            <w:r w:rsidR="00E954B6">
              <w:rPr>
                <w:noProof/>
                <w:webHidden/>
              </w:rPr>
              <w:fldChar w:fldCharType="separate"/>
            </w:r>
            <w:r w:rsidR="00E954B6">
              <w:rPr>
                <w:noProof/>
                <w:webHidden/>
              </w:rPr>
              <w:t>24</w:t>
            </w:r>
            <w:r w:rsidR="00E954B6">
              <w:rPr>
                <w:noProof/>
                <w:webHidden/>
              </w:rPr>
              <w:fldChar w:fldCharType="end"/>
            </w:r>
          </w:hyperlink>
        </w:p>
        <w:p w14:paraId="3777868C" w14:textId="20C6769D"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47" w:history="1">
            <w:r w:rsidR="00E954B6" w:rsidRPr="00E044F1">
              <w:rPr>
                <w:rStyle w:val="Hyperlink"/>
                <w:noProof/>
              </w:rPr>
              <w:t>Special Projects</w:t>
            </w:r>
            <w:r w:rsidR="00E954B6">
              <w:rPr>
                <w:noProof/>
                <w:webHidden/>
              </w:rPr>
              <w:tab/>
            </w:r>
            <w:r w:rsidR="00E954B6">
              <w:rPr>
                <w:noProof/>
                <w:webHidden/>
              </w:rPr>
              <w:fldChar w:fldCharType="begin"/>
            </w:r>
            <w:r w:rsidR="00E954B6">
              <w:rPr>
                <w:noProof/>
                <w:webHidden/>
              </w:rPr>
              <w:instrText xml:space="preserve"> PAGEREF _Toc102116147 \h </w:instrText>
            </w:r>
            <w:r w:rsidR="00E954B6">
              <w:rPr>
                <w:noProof/>
                <w:webHidden/>
              </w:rPr>
            </w:r>
            <w:r w:rsidR="00E954B6">
              <w:rPr>
                <w:noProof/>
                <w:webHidden/>
              </w:rPr>
              <w:fldChar w:fldCharType="separate"/>
            </w:r>
            <w:r w:rsidR="00E954B6">
              <w:rPr>
                <w:noProof/>
                <w:webHidden/>
              </w:rPr>
              <w:t>24</w:t>
            </w:r>
            <w:r w:rsidR="00E954B6">
              <w:rPr>
                <w:noProof/>
                <w:webHidden/>
              </w:rPr>
              <w:fldChar w:fldCharType="end"/>
            </w:r>
          </w:hyperlink>
        </w:p>
        <w:p w14:paraId="7F717D26" w14:textId="76191C51"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8" w:history="1">
            <w:r w:rsidR="00E954B6" w:rsidRPr="00E044F1">
              <w:rPr>
                <w:rStyle w:val="Hyperlink"/>
                <w:noProof/>
              </w:rPr>
              <w:t>Community Reinvestment Act Project:</w:t>
            </w:r>
            <w:r w:rsidR="00E954B6">
              <w:rPr>
                <w:noProof/>
                <w:webHidden/>
              </w:rPr>
              <w:tab/>
            </w:r>
            <w:r w:rsidR="00E954B6">
              <w:rPr>
                <w:noProof/>
                <w:webHidden/>
              </w:rPr>
              <w:fldChar w:fldCharType="begin"/>
            </w:r>
            <w:r w:rsidR="00E954B6">
              <w:rPr>
                <w:noProof/>
                <w:webHidden/>
              </w:rPr>
              <w:instrText xml:space="preserve"> PAGEREF _Toc102116148 \h </w:instrText>
            </w:r>
            <w:r w:rsidR="00E954B6">
              <w:rPr>
                <w:noProof/>
                <w:webHidden/>
              </w:rPr>
            </w:r>
            <w:r w:rsidR="00E954B6">
              <w:rPr>
                <w:noProof/>
                <w:webHidden/>
              </w:rPr>
              <w:fldChar w:fldCharType="separate"/>
            </w:r>
            <w:r w:rsidR="00E954B6">
              <w:rPr>
                <w:noProof/>
                <w:webHidden/>
              </w:rPr>
              <w:t>24</w:t>
            </w:r>
            <w:r w:rsidR="00E954B6">
              <w:rPr>
                <w:noProof/>
                <w:webHidden/>
              </w:rPr>
              <w:fldChar w:fldCharType="end"/>
            </w:r>
          </w:hyperlink>
        </w:p>
        <w:p w14:paraId="3FDB2845" w14:textId="5CE87122"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49" w:history="1">
            <w:r w:rsidR="00E954B6" w:rsidRPr="00E044F1">
              <w:rPr>
                <w:rStyle w:val="Hyperlink"/>
                <w:noProof/>
              </w:rPr>
              <w:t>SARA Project:</w:t>
            </w:r>
            <w:r w:rsidR="00E954B6">
              <w:rPr>
                <w:noProof/>
                <w:webHidden/>
              </w:rPr>
              <w:tab/>
            </w:r>
            <w:r w:rsidR="00E954B6">
              <w:rPr>
                <w:noProof/>
                <w:webHidden/>
              </w:rPr>
              <w:fldChar w:fldCharType="begin"/>
            </w:r>
            <w:r w:rsidR="00E954B6">
              <w:rPr>
                <w:noProof/>
                <w:webHidden/>
              </w:rPr>
              <w:instrText xml:space="preserve"> PAGEREF _Toc102116149 \h </w:instrText>
            </w:r>
            <w:r w:rsidR="00E954B6">
              <w:rPr>
                <w:noProof/>
                <w:webHidden/>
              </w:rPr>
            </w:r>
            <w:r w:rsidR="00E954B6">
              <w:rPr>
                <w:noProof/>
                <w:webHidden/>
              </w:rPr>
              <w:fldChar w:fldCharType="separate"/>
            </w:r>
            <w:r w:rsidR="00E954B6">
              <w:rPr>
                <w:noProof/>
                <w:webHidden/>
              </w:rPr>
              <w:t>24</w:t>
            </w:r>
            <w:r w:rsidR="00E954B6">
              <w:rPr>
                <w:noProof/>
                <w:webHidden/>
              </w:rPr>
              <w:fldChar w:fldCharType="end"/>
            </w:r>
          </w:hyperlink>
        </w:p>
        <w:p w14:paraId="55A4B682" w14:textId="68AB6944"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50" w:history="1">
            <w:r w:rsidR="00E954B6" w:rsidRPr="00E044F1">
              <w:rPr>
                <w:rStyle w:val="Hyperlink"/>
                <w:noProof/>
              </w:rPr>
              <w:t>Employment First Systems Change Project:</w:t>
            </w:r>
            <w:r w:rsidR="00E954B6">
              <w:rPr>
                <w:noProof/>
                <w:webHidden/>
              </w:rPr>
              <w:tab/>
            </w:r>
            <w:r w:rsidR="00E954B6">
              <w:rPr>
                <w:noProof/>
                <w:webHidden/>
              </w:rPr>
              <w:fldChar w:fldCharType="begin"/>
            </w:r>
            <w:r w:rsidR="00E954B6">
              <w:rPr>
                <w:noProof/>
                <w:webHidden/>
              </w:rPr>
              <w:instrText xml:space="preserve"> PAGEREF _Toc102116150 \h </w:instrText>
            </w:r>
            <w:r w:rsidR="00E954B6">
              <w:rPr>
                <w:noProof/>
                <w:webHidden/>
              </w:rPr>
            </w:r>
            <w:r w:rsidR="00E954B6">
              <w:rPr>
                <w:noProof/>
                <w:webHidden/>
              </w:rPr>
              <w:fldChar w:fldCharType="separate"/>
            </w:r>
            <w:r w:rsidR="00E954B6">
              <w:rPr>
                <w:noProof/>
                <w:webHidden/>
              </w:rPr>
              <w:t>25</w:t>
            </w:r>
            <w:r w:rsidR="00E954B6">
              <w:rPr>
                <w:noProof/>
                <w:webHidden/>
              </w:rPr>
              <w:fldChar w:fldCharType="end"/>
            </w:r>
          </w:hyperlink>
        </w:p>
        <w:p w14:paraId="2AFA7218" w14:textId="5077D0E5"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51" w:history="1">
            <w:r w:rsidR="00E954B6" w:rsidRPr="00E044F1">
              <w:rPr>
                <w:rStyle w:val="Hyperlink"/>
                <w:noProof/>
              </w:rPr>
              <w:t>Part 2: Significant program outcomes from October 1, 2021 to March 31. 2022</w:t>
            </w:r>
            <w:r w:rsidR="00E954B6">
              <w:rPr>
                <w:noProof/>
                <w:webHidden/>
              </w:rPr>
              <w:tab/>
            </w:r>
            <w:r w:rsidR="00E954B6">
              <w:rPr>
                <w:noProof/>
                <w:webHidden/>
              </w:rPr>
              <w:fldChar w:fldCharType="begin"/>
            </w:r>
            <w:r w:rsidR="00E954B6">
              <w:rPr>
                <w:noProof/>
                <w:webHidden/>
              </w:rPr>
              <w:instrText xml:space="preserve"> PAGEREF _Toc102116151 \h </w:instrText>
            </w:r>
            <w:r w:rsidR="00E954B6">
              <w:rPr>
                <w:noProof/>
                <w:webHidden/>
              </w:rPr>
            </w:r>
            <w:r w:rsidR="00E954B6">
              <w:rPr>
                <w:noProof/>
                <w:webHidden/>
              </w:rPr>
              <w:fldChar w:fldCharType="separate"/>
            </w:r>
            <w:r w:rsidR="00E954B6">
              <w:rPr>
                <w:noProof/>
                <w:webHidden/>
              </w:rPr>
              <w:t>25</w:t>
            </w:r>
            <w:r w:rsidR="00E954B6">
              <w:rPr>
                <w:noProof/>
                <w:webHidden/>
              </w:rPr>
              <w:fldChar w:fldCharType="end"/>
            </w:r>
          </w:hyperlink>
        </w:p>
        <w:p w14:paraId="64F7C687" w14:textId="7A09AEA0"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52" w:history="1">
            <w:r w:rsidR="00E954B6" w:rsidRPr="00E044F1">
              <w:rPr>
                <w:rStyle w:val="Hyperlink"/>
                <w:noProof/>
              </w:rPr>
              <w:t>Progress with Supplement:</w:t>
            </w:r>
            <w:r w:rsidR="00E954B6">
              <w:rPr>
                <w:noProof/>
                <w:webHidden/>
              </w:rPr>
              <w:tab/>
            </w:r>
            <w:r w:rsidR="00E954B6">
              <w:rPr>
                <w:noProof/>
                <w:webHidden/>
              </w:rPr>
              <w:fldChar w:fldCharType="begin"/>
            </w:r>
            <w:r w:rsidR="00E954B6">
              <w:rPr>
                <w:noProof/>
                <w:webHidden/>
              </w:rPr>
              <w:instrText xml:space="preserve"> PAGEREF _Toc102116152 \h </w:instrText>
            </w:r>
            <w:r w:rsidR="00E954B6">
              <w:rPr>
                <w:noProof/>
                <w:webHidden/>
              </w:rPr>
            </w:r>
            <w:r w:rsidR="00E954B6">
              <w:rPr>
                <w:noProof/>
                <w:webHidden/>
              </w:rPr>
              <w:fldChar w:fldCharType="separate"/>
            </w:r>
            <w:r w:rsidR="00E954B6">
              <w:rPr>
                <w:noProof/>
                <w:webHidden/>
              </w:rPr>
              <w:t>31</w:t>
            </w:r>
            <w:r w:rsidR="00E954B6">
              <w:rPr>
                <w:noProof/>
                <w:webHidden/>
              </w:rPr>
              <w:fldChar w:fldCharType="end"/>
            </w:r>
          </w:hyperlink>
        </w:p>
        <w:p w14:paraId="108811A5" w14:textId="7C8AD316"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53" w:history="1">
            <w:r w:rsidR="00E954B6" w:rsidRPr="00E044F1">
              <w:rPr>
                <w:rStyle w:val="Hyperlink"/>
                <w:noProof/>
              </w:rPr>
              <w:t>Website Statement</w:t>
            </w:r>
            <w:r w:rsidR="00E954B6">
              <w:rPr>
                <w:noProof/>
                <w:webHidden/>
              </w:rPr>
              <w:tab/>
            </w:r>
            <w:r w:rsidR="00E954B6">
              <w:rPr>
                <w:noProof/>
                <w:webHidden/>
              </w:rPr>
              <w:fldChar w:fldCharType="begin"/>
            </w:r>
            <w:r w:rsidR="00E954B6">
              <w:rPr>
                <w:noProof/>
                <w:webHidden/>
              </w:rPr>
              <w:instrText xml:space="preserve"> PAGEREF _Toc102116153 \h </w:instrText>
            </w:r>
            <w:r w:rsidR="00E954B6">
              <w:rPr>
                <w:noProof/>
                <w:webHidden/>
              </w:rPr>
            </w:r>
            <w:r w:rsidR="00E954B6">
              <w:rPr>
                <w:noProof/>
                <w:webHidden/>
              </w:rPr>
              <w:fldChar w:fldCharType="separate"/>
            </w:r>
            <w:r w:rsidR="00E954B6">
              <w:rPr>
                <w:noProof/>
                <w:webHidden/>
              </w:rPr>
              <w:t>33</w:t>
            </w:r>
            <w:r w:rsidR="00E954B6">
              <w:rPr>
                <w:noProof/>
                <w:webHidden/>
              </w:rPr>
              <w:fldChar w:fldCharType="end"/>
            </w:r>
          </w:hyperlink>
        </w:p>
        <w:p w14:paraId="4F19B04C" w14:textId="59CC8A3A"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54" w:history="1">
            <w:r w:rsidR="00E954B6" w:rsidRPr="00E044F1">
              <w:rPr>
                <w:rStyle w:val="Hyperlink"/>
                <w:noProof/>
              </w:rPr>
              <w:t>Part 3: Significant program activities, outputs, products and outcomes anticipated between April 1, 2022 and September 30, 2021</w:t>
            </w:r>
            <w:r w:rsidR="00E954B6">
              <w:rPr>
                <w:noProof/>
                <w:webHidden/>
              </w:rPr>
              <w:tab/>
            </w:r>
            <w:r w:rsidR="00E954B6">
              <w:rPr>
                <w:noProof/>
                <w:webHidden/>
              </w:rPr>
              <w:fldChar w:fldCharType="begin"/>
            </w:r>
            <w:r w:rsidR="00E954B6">
              <w:rPr>
                <w:noProof/>
                <w:webHidden/>
              </w:rPr>
              <w:instrText xml:space="preserve"> PAGEREF _Toc102116154 \h </w:instrText>
            </w:r>
            <w:r w:rsidR="00E954B6">
              <w:rPr>
                <w:noProof/>
                <w:webHidden/>
              </w:rPr>
            </w:r>
            <w:r w:rsidR="00E954B6">
              <w:rPr>
                <w:noProof/>
                <w:webHidden/>
              </w:rPr>
              <w:fldChar w:fldCharType="separate"/>
            </w:r>
            <w:r w:rsidR="00E954B6">
              <w:rPr>
                <w:noProof/>
                <w:webHidden/>
              </w:rPr>
              <w:t>34</w:t>
            </w:r>
            <w:r w:rsidR="00E954B6">
              <w:rPr>
                <w:noProof/>
                <w:webHidden/>
              </w:rPr>
              <w:fldChar w:fldCharType="end"/>
            </w:r>
          </w:hyperlink>
        </w:p>
        <w:p w14:paraId="278D26C8" w14:textId="1D90753D"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55" w:history="1">
            <w:r w:rsidR="00E954B6" w:rsidRPr="00E044F1">
              <w:rPr>
                <w:rStyle w:val="Hyperlink"/>
                <w:noProof/>
              </w:rPr>
              <w:t>Part 4: Challenges, opportunities and emerging issues</w:t>
            </w:r>
            <w:r w:rsidR="00E954B6">
              <w:rPr>
                <w:noProof/>
                <w:webHidden/>
              </w:rPr>
              <w:tab/>
            </w:r>
            <w:r w:rsidR="00E954B6">
              <w:rPr>
                <w:noProof/>
                <w:webHidden/>
              </w:rPr>
              <w:fldChar w:fldCharType="begin"/>
            </w:r>
            <w:r w:rsidR="00E954B6">
              <w:rPr>
                <w:noProof/>
                <w:webHidden/>
              </w:rPr>
              <w:instrText xml:space="preserve"> PAGEREF _Toc102116155 \h </w:instrText>
            </w:r>
            <w:r w:rsidR="00E954B6">
              <w:rPr>
                <w:noProof/>
                <w:webHidden/>
              </w:rPr>
            </w:r>
            <w:r w:rsidR="00E954B6">
              <w:rPr>
                <w:noProof/>
                <w:webHidden/>
              </w:rPr>
              <w:fldChar w:fldCharType="separate"/>
            </w:r>
            <w:r w:rsidR="00E954B6">
              <w:rPr>
                <w:noProof/>
                <w:webHidden/>
              </w:rPr>
              <w:t>34</w:t>
            </w:r>
            <w:r w:rsidR="00E954B6">
              <w:rPr>
                <w:noProof/>
                <w:webHidden/>
              </w:rPr>
              <w:fldChar w:fldCharType="end"/>
            </w:r>
          </w:hyperlink>
        </w:p>
        <w:p w14:paraId="6D1591F5" w14:textId="2C9C62A9"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56" w:history="1">
            <w:r w:rsidR="00E954B6" w:rsidRPr="00E044F1">
              <w:rPr>
                <w:rStyle w:val="Hyperlink"/>
                <w:noProof/>
              </w:rPr>
              <w:t>Part 5: COVID-9 Impact</w:t>
            </w:r>
            <w:r w:rsidR="00E954B6">
              <w:rPr>
                <w:noProof/>
                <w:webHidden/>
              </w:rPr>
              <w:tab/>
            </w:r>
            <w:r w:rsidR="00E954B6">
              <w:rPr>
                <w:noProof/>
                <w:webHidden/>
              </w:rPr>
              <w:fldChar w:fldCharType="begin"/>
            </w:r>
            <w:r w:rsidR="00E954B6">
              <w:rPr>
                <w:noProof/>
                <w:webHidden/>
              </w:rPr>
              <w:instrText xml:space="preserve"> PAGEREF _Toc102116156 \h </w:instrText>
            </w:r>
            <w:r w:rsidR="00E954B6">
              <w:rPr>
                <w:noProof/>
                <w:webHidden/>
              </w:rPr>
            </w:r>
            <w:r w:rsidR="00E954B6">
              <w:rPr>
                <w:noProof/>
                <w:webHidden/>
              </w:rPr>
              <w:fldChar w:fldCharType="separate"/>
            </w:r>
            <w:r w:rsidR="00E954B6">
              <w:rPr>
                <w:noProof/>
                <w:webHidden/>
              </w:rPr>
              <w:t>34</w:t>
            </w:r>
            <w:r w:rsidR="00E954B6">
              <w:rPr>
                <w:noProof/>
                <w:webHidden/>
              </w:rPr>
              <w:fldChar w:fldCharType="end"/>
            </w:r>
          </w:hyperlink>
        </w:p>
        <w:p w14:paraId="6F8D52E5" w14:textId="2E9A8B9D"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57" w:history="1">
            <w:r w:rsidR="00E954B6" w:rsidRPr="00E044F1">
              <w:rPr>
                <w:rStyle w:val="Hyperlink"/>
                <w:noProof/>
              </w:rPr>
              <w:t>Section B: Work Plan</w:t>
            </w:r>
            <w:r w:rsidR="00E954B6">
              <w:rPr>
                <w:noProof/>
                <w:webHidden/>
              </w:rPr>
              <w:tab/>
            </w:r>
            <w:r w:rsidR="00E954B6">
              <w:rPr>
                <w:noProof/>
                <w:webHidden/>
              </w:rPr>
              <w:fldChar w:fldCharType="begin"/>
            </w:r>
            <w:r w:rsidR="00E954B6">
              <w:rPr>
                <w:noProof/>
                <w:webHidden/>
              </w:rPr>
              <w:instrText xml:space="preserve"> PAGEREF _Toc102116157 \h </w:instrText>
            </w:r>
            <w:r w:rsidR="00E954B6">
              <w:rPr>
                <w:noProof/>
                <w:webHidden/>
              </w:rPr>
            </w:r>
            <w:r w:rsidR="00E954B6">
              <w:rPr>
                <w:noProof/>
                <w:webHidden/>
              </w:rPr>
              <w:fldChar w:fldCharType="separate"/>
            </w:r>
            <w:r w:rsidR="00E954B6">
              <w:rPr>
                <w:noProof/>
                <w:webHidden/>
              </w:rPr>
              <w:t>34</w:t>
            </w:r>
            <w:r w:rsidR="00E954B6">
              <w:rPr>
                <w:noProof/>
                <w:webHidden/>
              </w:rPr>
              <w:fldChar w:fldCharType="end"/>
            </w:r>
          </w:hyperlink>
        </w:p>
        <w:p w14:paraId="1BB214CD" w14:textId="5D0BE9CF"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58" w:history="1">
            <w:r w:rsidR="00E954B6" w:rsidRPr="00E044F1">
              <w:rPr>
                <w:rStyle w:val="Hyperlink"/>
                <w:noProof/>
              </w:rPr>
              <w:t>Section C: Budget</w:t>
            </w:r>
            <w:r w:rsidR="00E954B6">
              <w:rPr>
                <w:noProof/>
                <w:webHidden/>
              </w:rPr>
              <w:tab/>
            </w:r>
            <w:r w:rsidR="00E954B6">
              <w:rPr>
                <w:noProof/>
                <w:webHidden/>
              </w:rPr>
              <w:fldChar w:fldCharType="begin"/>
            </w:r>
            <w:r w:rsidR="00E954B6">
              <w:rPr>
                <w:noProof/>
                <w:webHidden/>
              </w:rPr>
              <w:instrText xml:space="preserve"> PAGEREF _Toc102116158 \h </w:instrText>
            </w:r>
            <w:r w:rsidR="00E954B6">
              <w:rPr>
                <w:noProof/>
                <w:webHidden/>
              </w:rPr>
            </w:r>
            <w:r w:rsidR="00E954B6">
              <w:rPr>
                <w:noProof/>
                <w:webHidden/>
              </w:rPr>
              <w:fldChar w:fldCharType="separate"/>
            </w:r>
            <w:r w:rsidR="00E954B6">
              <w:rPr>
                <w:noProof/>
                <w:webHidden/>
              </w:rPr>
              <w:t>37</w:t>
            </w:r>
            <w:r w:rsidR="00E954B6">
              <w:rPr>
                <w:noProof/>
                <w:webHidden/>
              </w:rPr>
              <w:fldChar w:fldCharType="end"/>
            </w:r>
          </w:hyperlink>
        </w:p>
        <w:p w14:paraId="19D4CED2" w14:textId="13E5F83C"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59" w:history="1">
            <w:r w:rsidR="00E954B6" w:rsidRPr="00E044F1">
              <w:rPr>
                <w:rStyle w:val="Hyperlink"/>
                <w:rFonts w:eastAsia="Times New Roman"/>
                <w:b/>
                <w:noProof/>
                <w:snapToGrid w:val="0"/>
              </w:rPr>
              <w:t>U.S. Department of Education</w:t>
            </w:r>
            <w:r w:rsidR="00E954B6">
              <w:rPr>
                <w:noProof/>
                <w:webHidden/>
              </w:rPr>
              <w:tab/>
            </w:r>
            <w:r w:rsidR="00E954B6">
              <w:rPr>
                <w:noProof/>
                <w:webHidden/>
              </w:rPr>
              <w:fldChar w:fldCharType="begin"/>
            </w:r>
            <w:r w:rsidR="00E954B6">
              <w:rPr>
                <w:noProof/>
                <w:webHidden/>
              </w:rPr>
              <w:instrText xml:space="preserve"> PAGEREF _Toc102116159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140F19AC" w14:textId="665C5DD0"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60" w:history="1">
            <w:r w:rsidR="00E954B6" w:rsidRPr="00E044F1">
              <w:rPr>
                <w:rStyle w:val="Hyperlink"/>
                <w:rFonts w:eastAsia="Times New Roman"/>
                <w:b/>
                <w:noProof/>
                <w:snapToGrid w:val="0"/>
              </w:rPr>
              <w:t>Grant Performance Report Cover Sheet (ED 524B)</w:t>
            </w:r>
            <w:r w:rsidR="00E954B6">
              <w:rPr>
                <w:noProof/>
                <w:webHidden/>
              </w:rPr>
              <w:tab/>
            </w:r>
            <w:r w:rsidR="00E954B6">
              <w:rPr>
                <w:noProof/>
                <w:webHidden/>
              </w:rPr>
              <w:fldChar w:fldCharType="begin"/>
            </w:r>
            <w:r w:rsidR="00E954B6">
              <w:rPr>
                <w:noProof/>
                <w:webHidden/>
              </w:rPr>
              <w:instrText xml:space="preserve"> PAGEREF _Toc102116160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2258849F" w14:textId="05B3BA83" w:rsidR="00E954B6" w:rsidRDefault="00000000">
          <w:pPr>
            <w:pStyle w:val="TOC1"/>
            <w:tabs>
              <w:tab w:val="right" w:leader="dot" w:pos="9350"/>
            </w:tabs>
            <w:rPr>
              <w:rFonts w:asciiTheme="minorHAnsi" w:eastAsiaTheme="minorEastAsia" w:hAnsiTheme="minorHAnsi" w:cstheme="minorBidi"/>
              <w:noProof/>
              <w:sz w:val="22"/>
              <w:szCs w:val="22"/>
            </w:rPr>
          </w:pPr>
          <w:hyperlink w:anchor="_Toc102116161" w:history="1">
            <w:r w:rsidR="00E954B6" w:rsidRPr="00E044F1">
              <w:rPr>
                <w:rStyle w:val="Hyperlink"/>
                <w:rFonts w:eastAsia="Times New Roman"/>
                <w:b/>
                <w:noProof/>
                <w:snapToGrid w:val="0"/>
              </w:rPr>
              <w:t>General Information</w:t>
            </w:r>
            <w:r w:rsidR="00E954B6">
              <w:rPr>
                <w:noProof/>
                <w:webHidden/>
              </w:rPr>
              <w:tab/>
            </w:r>
            <w:r w:rsidR="00E954B6">
              <w:rPr>
                <w:noProof/>
                <w:webHidden/>
              </w:rPr>
              <w:fldChar w:fldCharType="begin"/>
            </w:r>
            <w:r w:rsidR="00E954B6">
              <w:rPr>
                <w:noProof/>
                <w:webHidden/>
              </w:rPr>
              <w:instrText xml:space="preserve"> PAGEREF _Toc102116161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38E496E3" w14:textId="7764CA15"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62" w:history="1">
            <w:r w:rsidR="00E954B6" w:rsidRPr="00E044F1">
              <w:rPr>
                <w:rStyle w:val="Hyperlink"/>
                <w:rFonts w:eastAsia="Times New Roman"/>
                <w:b/>
                <w:noProof/>
                <w:snapToGrid w:val="0"/>
              </w:rPr>
              <w:t xml:space="preserve">Reporting Period Information </w:t>
            </w:r>
            <w:r w:rsidR="00E954B6" w:rsidRPr="00E044F1">
              <w:rPr>
                <w:rStyle w:val="Hyperlink"/>
                <w:rFonts w:eastAsia="Times New Roman"/>
                <w:b/>
                <w:i/>
                <w:iCs/>
                <w:noProof/>
                <w:snapToGrid w:val="0"/>
              </w:rPr>
              <w:t>(See instructions.)</w:t>
            </w:r>
            <w:r w:rsidR="00E954B6">
              <w:rPr>
                <w:noProof/>
                <w:webHidden/>
              </w:rPr>
              <w:tab/>
            </w:r>
            <w:r w:rsidR="00E954B6">
              <w:rPr>
                <w:noProof/>
                <w:webHidden/>
              </w:rPr>
              <w:fldChar w:fldCharType="begin"/>
            </w:r>
            <w:r w:rsidR="00E954B6">
              <w:rPr>
                <w:noProof/>
                <w:webHidden/>
              </w:rPr>
              <w:instrText xml:space="preserve"> PAGEREF _Toc102116162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347D551D" w14:textId="054205F8"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63" w:history="1">
            <w:r w:rsidR="00E954B6" w:rsidRPr="00E044F1">
              <w:rPr>
                <w:rStyle w:val="Hyperlink"/>
                <w:rFonts w:eastAsia="Times New Roman"/>
                <w:b/>
                <w:noProof/>
                <w:snapToGrid w:val="0"/>
              </w:rPr>
              <w:t xml:space="preserve">Budget Expenditures </w:t>
            </w:r>
            <w:r w:rsidR="00E954B6" w:rsidRPr="00E044F1">
              <w:rPr>
                <w:rStyle w:val="Hyperlink"/>
                <w:rFonts w:eastAsia="Times New Roman"/>
                <w:b/>
                <w:i/>
                <w:iCs/>
                <w:noProof/>
                <w:snapToGrid w:val="0"/>
              </w:rPr>
              <w:t>(To be completed by your Business Office.  See instructions.  Also see Section B.)</w:t>
            </w:r>
            <w:r w:rsidR="00E954B6">
              <w:rPr>
                <w:noProof/>
                <w:webHidden/>
              </w:rPr>
              <w:tab/>
            </w:r>
            <w:r w:rsidR="00E954B6">
              <w:rPr>
                <w:noProof/>
                <w:webHidden/>
              </w:rPr>
              <w:fldChar w:fldCharType="begin"/>
            </w:r>
            <w:r w:rsidR="00E954B6">
              <w:rPr>
                <w:noProof/>
                <w:webHidden/>
              </w:rPr>
              <w:instrText xml:space="preserve"> PAGEREF _Toc102116163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4736FA6C" w14:textId="1D2B317A"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64" w:history="1">
            <w:r w:rsidR="00E954B6" w:rsidRPr="00E044F1">
              <w:rPr>
                <w:rStyle w:val="Hyperlink"/>
                <w:rFonts w:eastAsia="Times New Roman"/>
                <w:b/>
                <w:noProof/>
                <w:snapToGrid w:val="0"/>
              </w:rPr>
              <w:t xml:space="preserve">Indirect Cost Information </w:t>
            </w:r>
            <w:r w:rsidR="00E954B6" w:rsidRPr="00E044F1">
              <w:rPr>
                <w:rStyle w:val="Hyperlink"/>
                <w:rFonts w:eastAsia="Times New Roman"/>
                <w:b/>
                <w:i/>
                <w:iCs/>
                <w:noProof/>
                <w:snapToGrid w:val="0"/>
              </w:rPr>
              <w:t>(To be completed by your Business Office.  See instructions.)</w:t>
            </w:r>
            <w:r w:rsidR="00E954B6">
              <w:rPr>
                <w:noProof/>
                <w:webHidden/>
              </w:rPr>
              <w:tab/>
            </w:r>
            <w:r w:rsidR="00E954B6">
              <w:rPr>
                <w:noProof/>
                <w:webHidden/>
              </w:rPr>
              <w:fldChar w:fldCharType="begin"/>
            </w:r>
            <w:r w:rsidR="00E954B6">
              <w:rPr>
                <w:noProof/>
                <w:webHidden/>
              </w:rPr>
              <w:instrText xml:space="preserve"> PAGEREF _Toc102116164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2331E69D" w14:textId="0B776733"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65" w:history="1">
            <w:r w:rsidR="00E954B6" w:rsidRPr="00E044F1">
              <w:rPr>
                <w:rStyle w:val="Hyperlink"/>
                <w:rFonts w:eastAsia="Times New Roman"/>
                <w:b/>
                <w:noProof/>
                <w:snapToGrid w:val="0"/>
              </w:rPr>
              <w:t>Human Subjects</w:t>
            </w:r>
            <w:r w:rsidR="00E954B6" w:rsidRPr="00E044F1">
              <w:rPr>
                <w:rStyle w:val="Hyperlink"/>
                <w:rFonts w:eastAsia="Times New Roman"/>
                <w:noProof/>
                <w:snapToGrid w:val="0"/>
              </w:rPr>
              <w:t xml:space="preserve"> </w:t>
            </w:r>
            <w:r w:rsidR="00E954B6" w:rsidRPr="00E044F1">
              <w:rPr>
                <w:rStyle w:val="Hyperlink"/>
                <w:rFonts w:eastAsia="Times New Roman"/>
                <w:b/>
                <w:bCs/>
                <w:noProof/>
                <w:snapToGrid w:val="0"/>
              </w:rPr>
              <w:t>(Annual Institutional Review Board (IRB) Certification)</w:t>
            </w:r>
            <w:r w:rsidR="00E954B6" w:rsidRPr="00E044F1">
              <w:rPr>
                <w:rStyle w:val="Hyperlink"/>
                <w:rFonts w:eastAsia="Times New Roman"/>
                <w:noProof/>
                <w:snapToGrid w:val="0"/>
              </w:rPr>
              <w:t xml:space="preserve"> </w:t>
            </w:r>
            <w:r w:rsidR="00E954B6" w:rsidRPr="00E044F1">
              <w:rPr>
                <w:rStyle w:val="Hyperlink"/>
                <w:rFonts w:eastAsia="Times New Roman"/>
                <w:i/>
                <w:iCs/>
                <w:noProof/>
                <w:snapToGrid w:val="0"/>
              </w:rPr>
              <w:t>(See instructions.)</w:t>
            </w:r>
            <w:r w:rsidR="00E954B6">
              <w:rPr>
                <w:noProof/>
                <w:webHidden/>
              </w:rPr>
              <w:tab/>
            </w:r>
            <w:r w:rsidR="00E954B6">
              <w:rPr>
                <w:noProof/>
                <w:webHidden/>
              </w:rPr>
              <w:fldChar w:fldCharType="begin"/>
            </w:r>
            <w:r w:rsidR="00E954B6">
              <w:rPr>
                <w:noProof/>
                <w:webHidden/>
              </w:rPr>
              <w:instrText xml:space="preserve"> PAGEREF _Toc102116165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4C68E5A8" w14:textId="21228C3A" w:rsidR="00E954B6" w:rsidRDefault="00000000">
          <w:pPr>
            <w:pStyle w:val="TOC2"/>
            <w:tabs>
              <w:tab w:val="right" w:leader="dot" w:pos="9350"/>
            </w:tabs>
            <w:rPr>
              <w:rFonts w:asciiTheme="minorHAnsi" w:eastAsiaTheme="minorEastAsia" w:hAnsiTheme="minorHAnsi" w:cstheme="minorBidi"/>
              <w:noProof/>
              <w:sz w:val="22"/>
              <w:szCs w:val="22"/>
            </w:rPr>
          </w:pPr>
          <w:hyperlink w:anchor="_Toc102116166" w:history="1">
            <w:r w:rsidR="00E954B6" w:rsidRPr="00E044F1">
              <w:rPr>
                <w:rStyle w:val="Hyperlink"/>
                <w:rFonts w:eastAsia="Times New Roman"/>
                <w:b/>
                <w:noProof/>
                <w:snapToGrid w:val="0"/>
              </w:rPr>
              <w:t xml:space="preserve">Data Privacy and Security Measures Certification </w:t>
            </w:r>
            <w:r w:rsidR="00E954B6" w:rsidRPr="00E044F1">
              <w:rPr>
                <w:rStyle w:val="Hyperlink"/>
                <w:rFonts w:eastAsia="Times New Roman"/>
                <w:i/>
                <w:iCs/>
                <w:noProof/>
                <w:snapToGrid w:val="0"/>
              </w:rPr>
              <w:t>(See instructions.)</w:t>
            </w:r>
            <w:r w:rsidR="00E954B6">
              <w:rPr>
                <w:noProof/>
                <w:webHidden/>
              </w:rPr>
              <w:tab/>
            </w:r>
            <w:r w:rsidR="00E954B6">
              <w:rPr>
                <w:noProof/>
                <w:webHidden/>
              </w:rPr>
              <w:fldChar w:fldCharType="begin"/>
            </w:r>
            <w:r w:rsidR="00E954B6">
              <w:rPr>
                <w:noProof/>
                <w:webHidden/>
              </w:rPr>
              <w:instrText xml:space="preserve"> PAGEREF _Toc102116166 \h </w:instrText>
            </w:r>
            <w:r w:rsidR="00E954B6">
              <w:rPr>
                <w:noProof/>
                <w:webHidden/>
              </w:rPr>
            </w:r>
            <w:r w:rsidR="00E954B6">
              <w:rPr>
                <w:noProof/>
                <w:webHidden/>
              </w:rPr>
              <w:fldChar w:fldCharType="separate"/>
            </w:r>
            <w:r w:rsidR="00E954B6">
              <w:rPr>
                <w:noProof/>
                <w:webHidden/>
              </w:rPr>
              <w:t>38</w:t>
            </w:r>
            <w:r w:rsidR="00E954B6">
              <w:rPr>
                <w:noProof/>
                <w:webHidden/>
              </w:rPr>
              <w:fldChar w:fldCharType="end"/>
            </w:r>
          </w:hyperlink>
        </w:p>
        <w:p w14:paraId="26DC5176" w14:textId="6F3F48F4" w:rsidR="006E4029" w:rsidRDefault="006E4029">
          <w:r>
            <w:rPr>
              <w:b/>
              <w:bCs/>
              <w:noProof/>
            </w:rPr>
            <w:fldChar w:fldCharType="end"/>
          </w:r>
        </w:p>
      </w:sdtContent>
    </w:sdt>
    <w:p w14:paraId="4E956BAC" w14:textId="77777777" w:rsidR="00E954B6" w:rsidRDefault="00E954B6">
      <w:pPr>
        <w:rPr>
          <w:b/>
          <w:sz w:val="32"/>
        </w:rPr>
      </w:pPr>
      <w:r>
        <w:rPr>
          <w:b/>
          <w:sz w:val="32"/>
        </w:rPr>
        <w:br w:type="page"/>
      </w:r>
    </w:p>
    <w:p w14:paraId="241B53D0" w14:textId="6625AE1D" w:rsidR="00FB025B" w:rsidRDefault="003B1D7D" w:rsidP="008A3695">
      <w:pPr>
        <w:pStyle w:val="NoSpacing"/>
        <w:jc w:val="center"/>
        <w:rPr>
          <w:b/>
          <w:sz w:val="32"/>
        </w:rPr>
      </w:pPr>
      <w:r w:rsidRPr="00FB025B">
        <w:rPr>
          <w:b/>
          <w:sz w:val="32"/>
        </w:rPr>
        <w:lastRenderedPageBreak/>
        <w:t xml:space="preserve">Vocational Rehabilitation Technical Assistance Center for </w:t>
      </w:r>
    </w:p>
    <w:p w14:paraId="5AC69C68" w14:textId="341EFEA2" w:rsidR="00AA4CA9" w:rsidRPr="00FB025B" w:rsidRDefault="003B1D7D" w:rsidP="008A3695">
      <w:pPr>
        <w:pStyle w:val="NoSpacing"/>
        <w:jc w:val="center"/>
        <w:rPr>
          <w:b/>
          <w:sz w:val="32"/>
        </w:rPr>
      </w:pPr>
      <w:r w:rsidRPr="00FB025B">
        <w:rPr>
          <w:b/>
          <w:sz w:val="32"/>
        </w:rPr>
        <w:t>Quality Management</w:t>
      </w:r>
    </w:p>
    <w:p w14:paraId="106B3A58" w14:textId="7FB64496" w:rsidR="008A3695" w:rsidRPr="00FB025B" w:rsidRDefault="00351AB0" w:rsidP="008A3695">
      <w:pPr>
        <w:pStyle w:val="NoSpacing"/>
        <w:jc w:val="center"/>
        <w:rPr>
          <w:b/>
          <w:sz w:val="32"/>
        </w:rPr>
      </w:pPr>
      <w:r>
        <w:rPr>
          <w:b/>
          <w:sz w:val="32"/>
        </w:rPr>
        <w:t xml:space="preserve">Semi-Annual </w:t>
      </w:r>
      <w:r w:rsidR="008A3695" w:rsidRPr="00FB025B">
        <w:rPr>
          <w:b/>
          <w:sz w:val="32"/>
        </w:rPr>
        <w:t>Reporting Form</w:t>
      </w:r>
    </w:p>
    <w:p w14:paraId="7CA9FF68" w14:textId="77777777" w:rsidR="008A3695" w:rsidRDefault="008A3695" w:rsidP="008A3695">
      <w:pPr>
        <w:pStyle w:val="NoSpacing"/>
      </w:pPr>
    </w:p>
    <w:p w14:paraId="20B836E3" w14:textId="77777777" w:rsidR="008A3695" w:rsidRDefault="008A3695" w:rsidP="008A3695">
      <w:pPr>
        <w:pStyle w:val="NoSpacing"/>
      </w:pPr>
      <w:r>
        <w:t>Name of individual filling out form:</w:t>
      </w:r>
      <w:r w:rsidR="00064BD7">
        <w:t xml:space="preserve"> Chaz Compton</w:t>
      </w:r>
    </w:p>
    <w:p w14:paraId="561E70EA" w14:textId="77777777" w:rsidR="008A3695" w:rsidRDefault="008A3695" w:rsidP="008A3695">
      <w:pPr>
        <w:pStyle w:val="NoSpacing"/>
      </w:pPr>
      <w:r>
        <w:t>Organization:</w:t>
      </w:r>
      <w:r w:rsidR="00064BD7">
        <w:t xml:space="preserve"> SDSU</w:t>
      </w:r>
      <w:r w:rsidR="003B1D7D">
        <w:t>RF</w:t>
      </w:r>
      <w:r w:rsidR="00064BD7">
        <w:t xml:space="preserve"> – Interwork Institute</w:t>
      </w:r>
    </w:p>
    <w:p w14:paraId="68DEA1AA" w14:textId="49E3BFEB" w:rsidR="008A3695" w:rsidRDefault="00351AB0" w:rsidP="008A3695">
      <w:pPr>
        <w:pStyle w:val="NoSpacing"/>
      </w:pPr>
      <w:r>
        <w:t>Semi-Annual</w:t>
      </w:r>
      <w:r w:rsidR="008A3695">
        <w:t xml:space="preserve"> report period:</w:t>
      </w:r>
      <w:r w:rsidR="00064BD7">
        <w:t xml:space="preserve"> </w:t>
      </w:r>
      <w:r w:rsidR="008B1488">
        <w:t>(</w:t>
      </w:r>
      <w:r>
        <w:t>Oct</w:t>
      </w:r>
      <w:r w:rsidR="008B1488">
        <w:t>. 1, 20</w:t>
      </w:r>
      <w:r w:rsidR="003B1D7D">
        <w:t>2</w:t>
      </w:r>
      <w:r w:rsidR="005B09DC">
        <w:t>0</w:t>
      </w:r>
      <w:r w:rsidR="008B1488">
        <w:t xml:space="preserve"> – </w:t>
      </w:r>
      <w:r w:rsidR="00283BBB">
        <w:t>Mar.</w:t>
      </w:r>
      <w:r w:rsidR="008B1488">
        <w:t xml:space="preserve"> 31, 20</w:t>
      </w:r>
      <w:r w:rsidR="003B1D7D">
        <w:t>2</w:t>
      </w:r>
      <w:r w:rsidR="005B09DC">
        <w:t>2</w:t>
      </w:r>
      <w:r w:rsidR="008B1488">
        <w:t>)</w:t>
      </w:r>
    </w:p>
    <w:p w14:paraId="3FECDCBC" w14:textId="6966FDF5" w:rsidR="008A3695" w:rsidRDefault="008A3695" w:rsidP="008A3695">
      <w:pPr>
        <w:pStyle w:val="NoSpacing"/>
      </w:pPr>
      <w:r>
        <w:t>Date submitted:</w:t>
      </w:r>
      <w:r w:rsidR="00064BD7">
        <w:t xml:space="preserve"> </w:t>
      </w:r>
      <w:r w:rsidR="00283BBB">
        <w:t xml:space="preserve">April </w:t>
      </w:r>
      <w:r w:rsidR="00D8348E">
        <w:t>29</w:t>
      </w:r>
      <w:r w:rsidR="003B1D7D">
        <w:t>, 202</w:t>
      </w:r>
      <w:r w:rsidR="005B09DC">
        <w:t>2</w:t>
      </w:r>
    </w:p>
    <w:p w14:paraId="7CDCFA4D" w14:textId="404AFEE8" w:rsidR="00D4197A" w:rsidRDefault="00D4197A" w:rsidP="00D4197A">
      <w:pPr>
        <w:pStyle w:val="Heading1"/>
        <w:spacing w:before="360" w:after="240"/>
      </w:pPr>
      <w:bookmarkStart w:id="1" w:name="_Toc102116129"/>
      <w:r w:rsidRPr="0045221A">
        <w:t xml:space="preserve">Section </w:t>
      </w:r>
      <w:r w:rsidR="00351AB0">
        <w:t>A</w:t>
      </w:r>
      <w:r w:rsidRPr="0045221A">
        <w:t xml:space="preserve">: </w:t>
      </w:r>
      <w:r w:rsidR="00D725C7">
        <w:t>P</w:t>
      </w:r>
      <w:r w:rsidR="00D725C7" w:rsidRPr="00D725C7">
        <w:t>rogress toward completion of goals, objectives, and outputs</w:t>
      </w:r>
      <w:bookmarkEnd w:id="1"/>
    </w:p>
    <w:p w14:paraId="0A8C0CCD" w14:textId="740E2441" w:rsidR="007D3F23" w:rsidRDefault="007D3F23" w:rsidP="00D4197A">
      <w:pPr>
        <w:pStyle w:val="Heading2"/>
      </w:pPr>
      <w:bookmarkStart w:id="2" w:name="_Toc102116130"/>
      <w:r>
        <w:t>Part 1: Program activities, outputs, and products</w:t>
      </w:r>
      <w:bookmarkEnd w:id="2"/>
    </w:p>
    <w:p w14:paraId="492A9783" w14:textId="20EEF725" w:rsidR="00D4197A" w:rsidRDefault="00F41A7A" w:rsidP="00D4197A">
      <w:pPr>
        <w:pStyle w:val="Heading2"/>
      </w:pPr>
      <w:bookmarkStart w:id="3" w:name="_Toc102116131"/>
      <w:r w:rsidRPr="00F41A7A">
        <w:t>Intensive TA agreement development and progress on activities, outputs, and outcomes</w:t>
      </w:r>
      <w:r w:rsidR="00D4197A">
        <w:t>:</w:t>
      </w:r>
      <w:bookmarkEnd w:id="3"/>
    </w:p>
    <w:p w14:paraId="65BE87DF" w14:textId="1495C20F" w:rsidR="003C3DDE" w:rsidRDefault="003C3DDE" w:rsidP="00B2046A">
      <w:pPr>
        <w:spacing w:before="240"/>
        <w:rPr>
          <w:bCs/>
        </w:rPr>
      </w:pPr>
      <w:bookmarkStart w:id="4" w:name="_Hlk102113427"/>
      <w:r>
        <w:rPr>
          <w:bCs/>
        </w:rPr>
        <w:t>At the end of the second quarter of Year Two, the VRTAC-QM completed eight intensive T</w:t>
      </w:r>
      <w:r w:rsidR="00D71D16">
        <w:rPr>
          <w:bCs/>
        </w:rPr>
        <w:t>A</w:t>
      </w:r>
      <w:r>
        <w:rPr>
          <w:bCs/>
        </w:rPr>
        <w:t xml:space="preserve"> agreements (ITAAs) with two out for signature in addition to the eight. </w:t>
      </w:r>
      <w:bookmarkEnd w:id="4"/>
      <w:r>
        <w:rPr>
          <w:bCs/>
        </w:rPr>
        <w:t xml:space="preserve">When we complete an ITAA, we establish monthly calls with the VR agency, at least at the beginning of the process), to monitor our progress in completing the activities and achieving the outputs and outcomes. These meetings are driven by a work plan that includes </w:t>
      </w:r>
      <w:proofErr w:type="gramStart"/>
      <w:r>
        <w:rPr>
          <w:bCs/>
        </w:rPr>
        <w:t>all of</w:t>
      </w:r>
      <w:proofErr w:type="gramEnd"/>
      <w:r>
        <w:rPr>
          <w:bCs/>
        </w:rPr>
        <w:t xml:space="preserve"> the elements of the ITAA and tracks the progress in each area. The overall progress for the center will be captured in the formal mid-year program evaluation report that will be provided on May 31</w:t>
      </w:r>
      <w:r w:rsidRPr="003C3DDE">
        <w:rPr>
          <w:bCs/>
          <w:vertAlign w:val="superscript"/>
        </w:rPr>
        <w:t>st</w:t>
      </w:r>
      <w:r>
        <w:rPr>
          <w:bCs/>
        </w:rPr>
        <w:t xml:space="preserve"> (as it relies on information gathered for this report). The w</w:t>
      </w:r>
      <w:r w:rsidR="00E0318E">
        <w:rPr>
          <w:bCs/>
        </w:rPr>
        <w:t>o</w:t>
      </w:r>
      <w:r>
        <w:rPr>
          <w:bCs/>
        </w:rPr>
        <w:t>rk plans for each ITAA have been embedded in this narrative and can be fully opened by do</w:t>
      </w:r>
      <w:r w:rsidR="00E0318E">
        <w:rPr>
          <w:bCs/>
        </w:rPr>
        <w:t>u</w:t>
      </w:r>
      <w:r>
        <w:rPr>
          <w:bCs/>
        </w:rPr>
        <w:t xml:space="preserve">ble-clicking on the icon. Each work plan is also attached to the </w:t>
      </w:r>
      <w:r w:rsidR="00E0318E">
        <w:rPr>
          <w:bCs/>
        </w:rPr>
        <w:t xml:space="preserve">final report if that is a preferable way of viewing the files. </w:t>
      </w:r>
    </w:p>
    <w:p w14:paraId="4F66DC23" w14:textId="67730B46" w:rsidR="00E0318E" w:rsidRPr="003C3DDE" w:rsidRDefault="00E0318E" w:rsidP="00B2046A">
      <w:pPr>
        <w:spacing w:before="240"/>
        <w:rPr>
          <w:bCs/>
        </w:rPr>
      </w:pPr>
      <w:r>
        <w:rPr>
          <w:bCs/>
        </w:rPr>
        <w:t xml:space="preserve">This report contains a narrative of the highlights for each </w:t>
      </w:r>
      <w:r w:rsidR="00D8348E">
        <w:rPr>
          <w:bCs/>
        </w:rPr>
        <w:t>ITAA but</w:t>
      </w:r>
      <w:r>
        <w:rPr>
          <w:bCs/>
        </w:rPr>
        <w:t xml:space="preserve"> does not repeat information that is readily apparent in the work plan.</w:t>
      </w:r>
    </w:p>
    <w:p w14:paraId="7FDA4A4C" w14:textId="77777777" w:rsidR="007369AF" w:rsidRDefault="007369AF" w:rsidP="007369AF">
      <w:pPr>
        <w:pStyle w:val="Style1"/>
      </w:pPr>
      <w:r w:rsidRPr="005C5959">
        <w:rPr>
          <w:b/>
          <w:u w:val="single"/>
        </w:rPr>
        <w:t>Delaware Blind</w:t>
      </w:r>
      <w:r>
        <w:t xml:space="preserve">: </w:t>
      </w:r>
    </w:p>
    <w:p w14:paraId="5017E35D" w14:textId="467BB8AF" w:rsidR="007369AF" w:rsidRDefault="007369AF" w:rsidP="007369AF">
      <w:pPr>
        <w:spacing w:before="120" w:after="120" w:line="276" w:lineRule="auto"/>
      </w:pPr>
      <w:r>
        <w:t xml:space="preserve">The team has made tremendous progress with Delaware Blind since its inception. There are nine activities and six of the nine have been completed. There are five fully completed outputs associated with the activities and one output is at 90% complete. The other three activities are at low to medium priority for the agency and have been 10% completed to date. </w:t>
      </w:r>
    </w:p>
    <w:p w14:paraId="1368F947" w14:textId="0355C822" w:rsidR="007369AF" w:rsidRDefault="007369AF" w:rsidP="007369AF">
      <w:pPr>
        <w:spacing w:before="120" w:after="120" w:line="276" w:lineRule="auto"/>
      </w:pPr>
      <w:r>
        <w:t>The short-term outcome of knowledge increase of staff is 90% complete</w:t>
      </w:r>
      <w:r w:rsidR="0048370B">
        <w:t xml:space="preserve"> and the other two short-term outcomes (maximizing Federal share draw-down and internal monitoring results) are at 75% completion. It seems likely that Delaware will be our first fully completed ITAA based on where they are at in so short a time.</w:t>
      </w:r>
    </w:p>
    <w:p w14:paraId="3F7A4F29" w14:textId="78B193FA" w:rsidR="007369AF" w:rsidRDefault="0048370B" w:rsidP="007369AF">
      <w:r>
        <w:t>The work with DVI was very intense at the beginning but has steadied out in the last six months. Their updated work plan is available below.</w:t>
      </w:r>
    </w:p>
    <w:bookmarkStart w:id="5" w:name="_MON_1712729088"/>
    <w:bookmarkEnd w:id="5"/>
    <w:p w14:paraId="4F86E3DE" w14:textId="2C6408ED" w:rsidR="0048370B" w:rsidRDefault="00E954B6" w:rsidP="007369AF">
      <w:r>
        <w:object w:dxaOrig="25718" w:dyaOrig="13802" w14:anchorId="0E280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screen shot of the work plan for Delaware Blind and can be opened as an Excel file by double-clicking the icon." style="width:331.85pt;height:170.9pt" o:ole="">
            <v:imagedata r:id="rId8" o:title=""/>
          </v:shape>
          <o:OLEObject Type="Embed" ProgID="Excel.Sheet.12" ShapeID="_x0000_i1025" DrawAspect="Content" ObjectID="_1732372533" r:id="rId9"/>
        </w:object>
      </w:r>
    </w:p>
    <w:p w14:paraId="0BD3AA3E" w14:textId="2B0B2606" w:rsidR="00632228" w:rsidRDefault="00B2046A" w:rsidP="00B2046A">
      <w:pPr>
        <w:spacing w:before="240"/>
      </w:pPr>
      <w:r w:rsidRPr="00B2046A">
        <w:rPr>
          <w:b/>
          <w:u w:val="single"/>
        </w:rPr>
        <w:t>Kansas Combined</w:t>
      </w:r>
      <w:r>
        <w:t xml:space="preserve">: </w:t>
      </w:r>
    </w:p>
    <w:p w14:paraId="2CF9C79E" w14:textId="2A6624B6" w:rsidR="006A0AAD" w:rsidRDefault="00B2046A" w:rsidP="006A0AAD">
      <w:pPr>
        <w:spacing w:before="240"/>
      </w:pPr>
      <w:r>
        <w:t xml:space="preserve">The </w:t>
      </w:r>
      <w:r w:rsidR="006A0AAD">
        <w:t xml:space="preserve">ITAA </w:t>
      </w:r>
      <w:r>
        <w:t>was signed by Kansas on March 26</w:t>
      </w:r>
      <w:r w:rsidR="006A0AAD">
        <w:t xml:space="preserve">, 2021, making them our longest running agreement. The agency has been working steadily with us in </w:t>
      </w:r>
      <w:proofErr w:type="gramStart"/>
      <w:r w:rsidR="006A0AAD">
        <w:t>a number of</w:t>
      </w:r>
      <w:proofErr w:type="gramEnd"/>
      <w:r w:rsidR="006A0AAD">
        <w:t xml:space="preserve"> areas focused on quality program and performance management. We meet with the agency every other month currently and have conducted several trainings that include the WIOA performance accountability system, </w:t>
      </w:r>
      <w:proofErr w:type="gramStart"/>
      <w:r w:rsidR="006A0AAD">
        <w:t>eligibility</w:t>
      </w:r>
      <w:proofErr w:type="gramEnd"/>
      <w:r w:rsidR="006A0AAD">
        <w:t xml:space="preserve"> and plan development.</w:t>
      </w:r>
      <w:r>
        <w:t xml:space="preserve">  </w:t>
      </w:r>
      <w:r w:rsidR="00A42754">
        <w:t>This is a joint ITAA with the NTACT:C and we conducted a joint training with them on IPE development that focused on plan development for students with disabilities. This training stressed the importance of utilizing a projected post-school outcome to place a student in plan quickly and keep them engaged in the VR process.</w:t>
      </w:r>
    </w:p>
    <w:p w14:paraId="106DEDE0" w14:textId="113C5C80" w:rsidR="006A0AAD" w:rsidRDefault="006A0AAD" w:rsidP="006A0AAD">
      <w:pPr>
        <w:spacing w:before="240"/>
      </w:pPr>
      <w:r>
        <w:t xml:space="preserve">The work plan which contains </w:t>
      </w:r>
      <w:proofErr w:type="gramStart"/>
      <w:r>
        <w:t>all of</w:t>
      </w:r>
      <w:proofErr w:type="gramEnd"/>
      <w:r>
        <w:t xml:space="preserve"> the progress on activities, outputs and outcomes is embedded below.</w:t>
      </w:r>
    </w:p>
    <w:p w14:paraId="53B563EE" w14:textId="5AF73287" w:rsidR="006A0AAD" w:rsidRDefault="00E954B6" w:rsidP="006A0AAD">
      <w:pPr>
        <w:spacing w:before="240"/>
      </w:pPr>
      <w:r>
        <w:object w:dxaOrig="29019" w:dyaOrig="7866" w14:anchorId="33EA5F5A">
          <v:shape id="_x0000_i1026" type="#_x0000_t75" alt="This is a picture of the work plan for Kansas and can be opened as an Excel file by double-clicking on the picture." style="width:352.5pt;height:237.3pt" o:ole="">
            <v:imagedata r:id="rId10" o:title=""/>
          </v:shape>
          <o:OLEObject Type="Embed" ProgID="Excel.Sheet.12" ShapeID="_x0000_i1026" DrawAspect="Content" ObjectID="_1732372534" r:id="rId11"/>
        </w:object>
      </w:r>
    </w:p>
    <w:p w14:paraId="2BF6DF61" w14:textId="7B762E4B" w:rsidR="00A42754" w:rsidRDefault="00A42754" w:rsidP="006A0AAD">
      <w:pPr>
        <w:spacing w:before="240"/>
        <w:rPr>
          <w:bCs/>
        </w:rPr>
      </w:pPr>
      <w:r>
        <w:rPr>
          <w:bCs/>
        </w:rPr>
        <w:lastRenderedPageBreak/>
        <w:t xml:space="preserve">There are nine activities led by the VRTAC-QM and six by the </w:t>
      </w:r>
      <w:proofErr w:type="gramStart"/>
      <w:r>
        <w:rPr>
          <w:bCs/>
        </w:rPr>
        <w:t>NTACT:C.</w:t>
      </w:r>
      <w:proofErr w:type="gramEnd"/>
      <w:r>
        <w:rPr>
          <w:bCs/>
        </w:rPr>
        <w:t xml:space="preserve"> </w:t>
      </w:r>
      <w:r w:rsidR="008334A4">
        <w:rPr>
          <w:bCs/>
        </w:rPr>
        <w:t xml:space="preserve">There are three of the VRTAC-QM activities that are 100% complete, one is 75% complete, three are 25% and three that are 10% complete. </w:t>
      </w:r>
    </w:p>
    <w:p w14:paraId="229BB8DB" w14:textId="05B4C1EF" w:rsidR="008334A4" w:rsidRDefault="008334A4" w:rsidP="006A0AAD">
      <w:pPr>
        <w:spacing w:before="240"/>
        <w:rPr>
          <w:bCs/>
        </w:rPr>
      </w:pPr>
      <w:r>
        <w:rPr>
          <w:bCs/>
        </w:rPr>
        <w:t>One of the short-term outcomes is 25% complete and the others have established baseline data that will be measured at the end of this Program Year to determine what, if any progress has been made.</w:t>
      </w:r>
    </w:p>
    <w:p w14:paraId="02809803" w14:textId="73CD9BEA" w:rsidR="008334A4" w:rsidRPr="00A42754" w:rsidRDefault="008334A4" w:rsidP="006A0AAD">
      <w:pPr>
        <w:spacing w:before="240"/>
        <w:rPr>
          <w:bCs/>
        </w:rPr>
      </w:pPr>
      <w:r>
        <w:rPr>
          <w:bCs/>
        </w:rPr>
        <w:t xml:space="preserve">Note: We have been able to get PY 2020 baseline data from RSA on </w:t>
      </w:r>
      <w:proofErr w:type="gramStart"/>
      <w:r>
        <w:rPr>
          <w:bCs/>
        </w:rPr>
        <w:t>all of</w:t>
      </w:r>
      <w:proofErr w:type="gramEnd"/>
      <w:r>
        <w:rPr>
          <w:bCs/>
        </w:rPr>
        <w:t xml:space="preserve"> our intensive TA states and this will result in us having baseline data for all programs to measure at the end of each subsequent Program Year.</w:t>
      </w:r>
    </w:p>
    <w:p w14:paraId="7CE3EBFB" w14:textId="38E4549F" w:rsidR="00632228" w:rsidRDefault="00D4197A" w:rsidP="006A0AAD">
      <w:pPr>
        <w:spacing w:before="240"/>
      </w:pPr>
      <w:r w:rsidRPr="00632228">
        <w:rPr>
          <w:b/>
          <w:u w:val="single"/>
        </w:rPr>
        <w:t>Montana Combined</w:t>
      </w:r>
      <w:r>
        <w:t xml:space="preserve">: </w:t>
      </w:r>
    </w:p>
    <w:p w14:paraId="44D083F9" w14:textId="30ACCBF3" w:rsidR="00CC0026" w:rsidRDefault="00CC0026" w:rsidP="00632228">
      <w:r>
        <w:t xml:space="preserve">The Montana ITAA was signed on June 4, 2021. We have been working in a deliberate and successful way with the agency. They are careful to ensure they have the capacity to embark on activities and see them through to their conclusion. The VRTAC-QM is scheduled to present at their all-staff meeting in May to conduct IPE training and fiscal </w:t>
      </w:r>
      <w:r w:rsidR="00044209">
        <w:t>management training that Is relevant for all staff.</w:t>
      </w:r>
    </w:p>
    <w:p w14:paraId="1B77322D" w14:textId="77777777" w:rsidR="00044209" w:rsidRDefault="00044209" w:rsidP="00632228">
      <w:r>
        <w:t xml:space="preserve">We began meeting </w:t>
      </w:r>
      <w:proofErr w:type="gramStart"/>
      <w:r>
        <w:t>on a monthly basis</w:t>
      </w:r>
      <w:proofErr w:type="gramEnd"/>
      <w:r>
        <w:t xml:space="preserve"> with Montana after the ITAA was signed and we have now moved to every other month. During these meetings we review our progress on all activities, </w:t>
      </w:r>
      <w:proofErr w:type="gramStart"/>
      <w:r>
        <w:t>outputs</w:t>
      </w:r>
      <w:proofErr w:type="gramEnd"/>
      <w:r>
        <w:t xml:space="preserve"> and outcomes in the ITAA. The work plan is current up the end of the second quarter of Year 2 and is embedded below.</w:t>
      </w:r>
    </w:p>
    <w:p w14:paraId="7018F5C7" w14:textId="45BBEB19" w:rsidR="00044209" w:rsidRDefault="00E954B6" w:rsidP="00632228">
      <w:r>
        <w:object w:dxaOrig="29019" w:dyaOrig="7602" w14:anchorId="3FDEAEAA">
          <v:shape id="_x0000_i1027" type="#_x0000_t75" alt="This is a picture of the work plan for Montana and can be opened as an Excel file by double-clicking on the picture." style="width:416.35pt;height:251.05pt" o:ole="">
            <v:imagedata r:id="rId12" o:title=""/>
          </v:shape>
          <o:OLEObject Type="Embed" ProgID="Excel.Sheet.12" ShapeID="_x0000_i1027" DrawAspect="Content" ObjectID="_1732372535" r:id="rId13"/>
        </w:object>
      </w:r>
      <w:r w:rsidR="00044209">
        <w:t xml:space="preserve"> </w:t>
      </w:r>
    </w:p>
    <w:p w14:paraId="40A14BEC" w14:textId="123D87C0" w:rsidR="005C397D" w:rsidRDefault="00044209" w:rsidP="00632228">
      <w:r>
        <w:t>There are ten activities included in Montana’s ITAA. Seven of the activities are focused on training, WIOA performance accountability</w:t>
      </w:r>
      <w:r w:rsidR="001329DF">
        <w:t xml:space="preserve"> reporting</w:t>
      </w:r>
      <w:r>
        <w:t xml:space="preserve"> and data analysis</w:t>
      </w:r>
      <w:r w:rsidR="001329DF">
        <w:t xml:space="preserve"> for program improvement. There are three activities focused on fiscal management. Montana is also on of our </w:t>
      </w:r>
      <w:r w:rsidR="001329DF">
        <w:lastRenderedPageBreak/>
        <w:t>Employment First Systems Change pilot programs, but this work has just begun as the State has been slow to move to an Employment First initiative.</w:t>
      </w:r>
    </w:p>
    <w:p w14:paraId="5D8D8533" w14:textId="4E0CF6AA" w:rsidR="001329DF" w:rsidRDefault="001329DF" w:rsidP="00632228">
      <w:r>
        <w:t>There are two activities that are 50% complete, two that are 25% complete, one that is 15% complete, one that is 10% complete and five that are not started. One of the short-term outcomes has been 25% achieved and the others have recently established baseline data that will be used to measure progress at the end of PY 2021.</w:t>
      </w:r>
    </w:p>
    <w:p w14:paraId="147FD33C" w14:textId="77777777" w:rsidR="008D0A69" w:rsidRPr="00A136A6" w:rsidRDefault="008D0A69" w:rsidP="008D0A69">
      <w:pPr>
        <w:rPr>
          <w:b/>
          <w:u w:val="single"/>
        </w:rPr>
      </w:pPr>
      <w:r w:rsidRPr="00A136A6">
        <w:rPr>
          <w:b/>
          <w:u w:val="single"/>
        </w:rPr>
        <w:t>Pennsylvania Combined:</w:t>
      </w:r>
    </w:p>
    <w:p w14:paraId="0CDC0CFA" w14:textId="1A978986" w:rsidR="00140A9D" w:rsidRDefault="00140A9D" w:rsidP="008D0A69">
      <w:r>
        <w:t xml:space="preserve">The ITAA for Pennsylvania Combined was signed on June 28, </w:t>
      </w:r>
      <w:proofErr w:type="gramStart"/>
      <w:r>
        <w:t>2021</w:t>
      </w:r>
      <w:proofErr w:type="gramEnd"/>
      <w:r>
        <w:t xml:space="preserve"> and includes a wide array of activities focused on training, program and performance, VR regulations, pre-employment transition services and fiscal management of the program. Work has been very intense with Pennsylvania since it was signed, though there was an interruption when the leadership of the agency turned over. The new leadership determined that they wanted to continue with TA, so we have begun working with them intensely since then.</w:t>
      </w:r>
    </w:p>
    <w:p w14:paraId="4283A090" w14:textId="157474E9" w:rsidR="00140A9D" w:rsidRDefault="00140A9D" w:rsidP="008D0A69">
      <w:r>
        <w:t xml:space="preserve">We have been meeting with Pennsylvania on at least a monthly basis, including an in-person training and TA visit. The ITAA for Pennsylvania is a joint endeavor with the NTACT:C and the plan include activities that are led by the </w:t>
      </w:r>
      <w:proofErr w:type="gramStart"/>
      <w:r>
        <w:t>NTACT:C.</w:t>
      </w:r>
      <w:proofErr w:type="gramEnd"/>
      <w:r w:rsidR="001D5F29">
        <w:t xml:space="preserve"> The work plan for Pennsylvania is embedded below.</w:t>
      </w:r>
    </w:p>
    <w:p w14:paraId="2FB5CA4A" w14:textId="08142B0A" w:rsidR="001D5F29" w:rsidRDefault="00E954B6" w:rsidP="008D0A69">
      <w:r>
        <w:object w:dxaOrig="29798" w:dyaOrig="7856" w14:anchorId="7577F5CF">
          <v:shape id="_x0000_i1028" type="#_x0000_t75" alt="This is a picture of the work plan for Pennsylvania and can be opened as an Excel file by double-clicking on the picture." style="width:424.5pt;height:244.15pt" o:ole="">
            <v:imagedata r:id="rId14" o:title=""/>
          </v:shape>
          <o:OLEObject Type="Embed" ProgID="Excel.Sheet.12" ShapeID="_x0000_i1028" DrawAspect="Content" ObjectID="_1732372536" r:id="rId15"/>
        </w:object>
      </w:r>
    </w:p>
    <w:p w14:paraId="6DEB6D8D" w14:textId="3E19B98A" w:rsidR="001D5F29" w:rsidRDefault="001D5F29" w:rsidP="008D0A69">
      <w:r>
        <w:t xml:space="preserve">There are 20 activities in the Pennsylvania ITAA, making it the longest of any of the agreements we have in place to date. </w:t>
      </w:r>
      <w:r w:rsidR="006D76FE">
        <w:t>There are three activities that are 100% complete, one is 75% complete, one is 50% complete, six are 25% complete and eight have not been started.</w:t>
      </w:r>
    </w:p>
    <w:p w14:paraId="7BEFB5C6" w14:textId="274ABA64" w:rsidR="006D76FE" w:rsidRDefault="006D76FE" w:rsidP="008D0A69">
      <w:r>
        <w:t xml:space="preserve">There has been baseline data established for </w:t>
      </w:r>
      <w:proofErr w:type="gramStart"/>
      <w:r>
        <w:t>all of</w:t>
      </w:r>
      <w:proofErr w:type="gramEnd"/>
      <w:r>
        <w:t xml:space="preserve"> the short and long-term outcomes, and one of the short-term outcomes has been 25% achieved to date. We will have more complete data on outcomes once PY 2021 has been completed and we have that data to compare to PY 2020.</w:t>
      </w:r>
    </w:p>
    <w:p w14:paraId="78DD5249" w14:textId="53A7D588" w:rsidR="006D76FE" w:rsidRPr="000727BF" w:rsidRDefault="000727BF" w:rsidP="008D0A69">
      <w:pPr>
        <w:rPr>
          <w:b/>
          <w:bCs/>
          <w:u w:val="single"/>
        </w:rPr>
      </w:pPr>
      <w:r w:rsidRPr="000727BF">
        <w:rPr>
          <w:b/>
          <w:bCs/>
          <w:u w:val="single"/>
        </w:rPr>
        <w:lastRenderedPageBreak/>
        <w:t>Maryland Combined:</w:t>
      </w:r>
    </w:p>
    <w:p w14:paraId="68B7AE60" w14:textId="1EB208E9" w:rsidR="000727BF" w:rsidRDefault="000727BF" w:rsidP="008D0A69">
      <w:r>
        <w:t xml:space="preserve">The ITAA for Maryland Combined was signed on 10-15-21. This agreement is solely focused on data gathering and analysis related to determining the effectiveness of purchased services. There are four activities that are specific to data gathering and analysis and one focused on tracking, </w:t>
      </w:r>
      <w:proofErr w:type="gramStart"/>
      <w:r>
        <w:t>validating</w:t>
      </w:r>
      <w:proofErr w:type="gramEnd"/>
      <w:r>
        <w:t xml:space="preserve"> and reporting data necessary for the RSA 911 case service report. We knew going into this agreement that getting the data from the agency in a useable form for analysis was going to be a big effort. The agency ahs been working steadily with Chris Smith, who developed a data analysis tool that can be used for this project once the data is ready.</w:t>
      </w:r>
      <w:r w:rsidR="00577894">
        <w:t xml:space="preserve"> The work plan for Maryland is embedded below.</w:t>
      </w:r>
    </w:p>
    <w:p w14:paraId="7F4986CE" w14:textId="67EDEE0A" w:rsidR="00577894" w:rsidRDefault="00E954B6" w:rsidP="008D0A69">
      <w:r>
        <w:object w:dxaOrig="16692" w:dyaOrig="4671" w14:anchorId="62F71C50">
          <v:shape id="_x0000_i1029" type="#_x0000_t75" alt="This is a picture of the work plan for Maryland and can be opened as an Excel file by double-clicking on the picture." style="width:428.25pt;height:172.8pt" o:ole="">
            <v:imagedata r:id="rId16" o:title=""/>
          </v:shape>
          <o:OLEObject Type="Embed" ProgID="Excel.Sheet.12" ShapeID="_x0000_i1029" DrawAspect="Content" ObjectID="_1732372537" r:id="rId17"/>
        </w:object>
      </w:r>
    </w:p>
    <w:p w14:paraId="669FCD81" w14:textId="3138E4F6" w:rsidR="00577894" w:rsidRDefault="00577894" w:rsidP="008D0A69">
      <w:r>
        <w:t>The VRTAC-QM team conducted a national and state level analysis of data related to Maryland, including their service regions that includes data on population, disability levels and types, educational attainment, poverty levels and income levels. This data will be used to identify where the greatest need is in Maryland by service region</w:t>
      </w:r>
      <w:r w:rsidR="00681716">
        <w:t xml:space="preserve"> and contributes to the agency’s decisions on where they may want to focus their resources. This activity is 100% complete. The data gathering process is 60% complete as of this writing, and the other three activities are not started yet as they rely on the data analysis.</w:t>
      </w:r>
    </w:p>
    <w:p w14:paraId="6EB48728" w14:textId="064D9BC1" w:rsidR="00681716" w:rsidRPr="000F62AC" w:rsidRDefault="000F62AC" w:rsidP="008D0A69">
      <w:pPr>
        <w:rPr>
          <w:b/>
          <w:bCs/>
        </w:rPr>
      </w:pPr>
      <w:r w:rsidRPr="000F62AC">
        <w:rPr>
          <w:b/>
          <w:bCs/>
        </w:rPr>
        <w:t>Arkansas Blind:</w:t>
      </w:r>
    </w:p>
    <w:p w14:paraId="6A5CF195" w14:textId="79C003E2" w:rsidR="000F62AC" w:rsidRDefault="000F62AC" w:rsidP="008D0A69">
      <w:r>
        <w:t>The ITAA for Arkansas Blind was signed on 1-6-22 and is c</w:t>
      </w:r>
      <w:r w:rsidR="001A4905">
        <w:t>o</w:t>
      </w:r>
      <w:r>
        <w:t>mpletel</w:t>
      </w:r>
      <w:r w:rsidR="001A4905">
        <w:t>y</w:t>
      </w:r>
      <w:r>
        <w:t xml:space="preserve"> focused on fiscal management of the VR program. This agreement stemmed fr</w:t>
      </w:r>
      <w:r w:rsidR="001A4905">
        <w:t>o</w:t>
      </w:r>
      <w:r>
        <w:t>m the RSA monitoring process and the subsequent corrective actions</w:t>
      </w:r>
      <w:r w:rsidR="001A4905">
        <w:t xml:space="preserve">. The fiscal team has had two in-person trainings and TA meetings with the agency which helped us to fully understand the depth of the fiscal issues they are dealing with. The fiscal team broke up the activities in the ITAA into smaller parts </w:t>
      </w:r>
      <w:proofErr w:type="gramStart"/>
      <w:r w:rsidR="001A4905">
        <w:t>in order to</w:t>
      </w:r>
      <w:proofErr w:type="gramEnd"/>
      <w:r w:rsidR="001A4905">
        <w:t xml:space="preserve"> track the progress of their work. </w:t>
      </w:r>
      <w:r w:rsidR="0075008B">
        <w:t>We include this information so that the depth of the work can be identified</w:t>
      </w:r>
      <w:r w:rsidR="001A4905">
        <w:t>.</w:t>
      </w:r>
    </w:p>
    <w:p w14:paraId="460A4FB8" w14:textId="4D9C1F94" w:rsidR="001A4905" w:rsidRDefault="00E954B6" w:rsidP="008D0A69">
      <w:r>
        <w:object w:dxaOrig="15322" w:dyaOrig="17608" w14:anchorId="649C7F00">
          <v:shape id="_x0000_i1030" type="#_x0000_t75" alt="This is a picture of the work plan for Arkansas Blind and can be opened as an Excel file by double-clicking on the picture." style="width:440.75pt;height:211pt" o:ole="">
            <v:imagedata r:id="rId18" o:title=""/>
          </v:shape>
          <o:OLEObject Type="Embed" ProgID="Excel.Sheet.12" ShapeID="_x0000_i1030" DrawAspect="Content" ObjectID="_1732372538" r:id="rId19"/>
        </w:object>
      </w:r>
    </w:p>
    <w:p w14:paraId="41E4435E" w14:textId="0335C4B4" w:rsidR="00577894" w:rsidRDefault="005E46DD" w:rsidP="008D0A69">
      <w:r>
        <w:t xml:space="preserve">There are nine activities associated with the work in Arkansas Blind that are 100% complete, while nine are identified as in progress. One of the activities is listed as 75% complete and two are noted at 50% complete. </w:t>
      </w:r>
      <w:r w:rsidR="0075008B">
        <w:t>In the ITAA activities, the training activity is 50% complete, the leadership development activity is 25% complete and three of the fiscal activities are 25% overall. The short-term outcome of knowledge increase is 25% achieved.</w:t>
      </w:r>
    </w:p>
    <w:p w14:paraId="1F6F08F1" w14:textId="0FFEE791" w:rsidR="00F374F3" w:rsidRPr="00F374F3" w:rsidRDefault="00F374F3" w:rsidP="008D0A69">
      <w:pPr>
        <w:rPr>
          <w:b/>
          <w:bCs/>
          <w:u w:val="single"/>
        </w:rPr>
      </w:pPr>
      <w:r w:rsidRPr="00F374F3">
        <w:rPr>
          <w:b/>
          <w:bCs/>
          <w:u w:val="single"/>
        </w:rPr>
        <w:t>Washington Blind:</w:t>
      </w:r>
    </w:p>
    <w:p w14:paraId="41066BF5" w14:textId="12A9D2A4" w:rsidR="00F374F3" w:rsidRDefault="00F374F3" w:rsidP="008D0A69">
      <w:r>
        <w:t xml:space="preserve">The ITAA for Washington Blind was signed on 1-12-22. The agreement focuses on leadership development, training and tracking and reporting data for the RSA 911 case service report. Shortly after signing the agreement, the agency was monitored and asked to put all work on hold until after the monitoring process was complete. As of this writing, they have completed monitoring and we sat in on </w:t>
      </w:r>
      <w:proofErr w:type="gramStart"/>
      <w:r>
        <w:t>all of</w:t>
      </w:r>
      <w:proofErr w:type="gramEnd"/>
      <w:r>
        <w:t xml:space="preserve"> the sessions with RSA. The agency has requested to begin the activities, so as of the end of this quarter, we sent them a draft of the staff training needs assessment and are scheduled to meet with them in May to kick-off the leadership development training. Consequently, there is not a work plan developed for this agency as of this writing, but there will be one developed in the third quarter.</w:t>
      </w:r>
    </w:p>
    <w:p w14:paraId="1802A42A" w14:textId="0F17AC89" w:rsidR="00F374F3" w:rsidRPr="00F374F3" w:rsidRDefault="00F374F3" w:rsidP="008D0A69">
      <w:pPr>
        <w:rPr>
          <w:b/>
          <w:bCs/>
          <w:u w:val="single"/>
        </w:rPr>
      </w:pPr>
      <w:r w:rsidRPr="00F374F3">
        <w:rPr>
          <w:b/>
          <w:bCs/>
          <w:u w:val="single"/>
        </w:rPr>
        <w:t>Wyoming Combined:</w:t>
      </w:r>
    </w:p>
    <w:p w14:paraId="1A42CAF4" w14:textId="6EED54EF" w:rsidR="00F374F3" w:rsidRDefault="0078233D" w:rsidP="008D0A69">
      <w:r>
        <w:t>The Wyoming Combined ITAA was signed on 2-15-22 and is another agreement focused primarily on fiscal quality management. There are 11 activities in the ITAA, all with a fiscal focus. The team has made two in-person trips to Wyoming and did a considerable amount of targeted TA with them before moving into an intensive agreement. One of the major issues in Wyoming revolved around the DSA exerting too much authority around the expenditure of funds for the VR program. The TA in Wyoming has involved several of the DSA staff, and they are working much more effectively with each other since our intervention. The work plan for Wyoming is embedded below.</w:t>
      </w:r>
    </w:p>
    <w:p w14:paraId="21E047B1" w14:textId="0C3D011E" w:rsidR="0078233D" w:rsidRDefault="00E954B6" w:rsidP="008D0A69">
      <w:r>
        <w:object w:dxaOrig="30644" w:dyaOrig="12349" w14:anchorId="589FFD2C">
          <v:shape id="_x0000_i1031" type="#_x0000_t75" alt="This is a picture of the work plan for Wyoming and can be opened as an Excel file by double-clicking on the picture." style="width:428.85pt;height:238.55pt" o:ole="">
            <v:imagedata r:id="rId20" o:title=""/>
          </v:shape>
          <o:OLEObject Type="Embed" ProgID="Excel.Sheet.12" ShapeID="_x0000_i1031" DrawAspect="Content" ObjectID="_1732372539" r:id="rId21"/>
        </w:object>
      </w:r>
    </w:p>
    <w:p w14:paraId="3172F19A" w14:textId="014B580C" w:rsidR="00577894" w:rsidRDefault="00804A84" w:rsidP="008D0A69">
      <w:r>
        <w:t>As was the case with Arkansas Blind, the fiscal team broke up the smaller activities within each ITAA activity to track progress. In the ITAA, the training activity is 50% complete, the leadership activity is 25% complete, and one of the fiscal activities is 100% complete. There are three fiscal activities that are 75% complete, four that are 50% complete and one that is 25% complete. One of the short-term outcomes is 50% complete.</w:t>
      </w:r>
    </w:p>
    <w:p w14:paraId="755DE7AD" w14:textId="20F27F1E" w:rsidR="005C5959" w:rsidRPr="005C5959" w:rsidRDefault="005C5959" w:rsidP="006C6D1C">
      <w:pPr>
        <w:shd w:val="clear" w:color="auto" w:fill="E7E6E6" w:themeFill="background2"/>
        <w:rPr>
          <w:b/>
          <w:i/>
        </w:rPr>
      </w:pPr>
      <w:r w:rsidRPr="005C5959">
        <w:rPr>
          <w:b/>
          <w:i/>
        </w:rPr>
        <w:t>New requests for intensive TA in the second quarter:</w:t>
      </w:r>
    </w:p>
    <w:p w14:paraId="50B6B056" w14:textId="0B319140" w:rsidR="005C5959" w:rsidRDefault="005C5959" w:rsidP="008D0A69">
      <w:r>
        <w:t>The following agencies have reached out to us for possible intensive TA:</w:t>
      </w:r>
    </w:p>
    <w:p w14:paraId="56792274" w14:textId="04AF7603" w:rsidR="005C5959" w:rsidRDefault="005C5959" w:rsidP="00615183">
      <w:pPr>
        <w:pStyle w:val="ListParagraph"/>
        <w:numPr>
          <w:ilvl w:val="3"/>
          <w:numId w:val="1"/>
        </w:numPr>
        <w:ind w:left="720"/>
      </w:pPr>
      <w:r w:rsidRPr="005C5959">
        <w:rPr>
          <w:b/>
        </w:rPr>
        <w:t>Florida General</w:t>
      </w:r>
      <w:r>
        <w:t xml:space="preserve"> </w:t>
      </w:r>
    </w:p>
    <w:p w14:paraId="11B744B3" w14:textId="31EDA3BE" w:rsidR="00804A84" w:rsidRPr="00804A84" w:rsidRDefault="00804A84" w:rsidP="00615183">
      <w:pPr>
        <w:pStyle w:val="ListParagraph"/>
        <w:numPr>
          <w:ilvl w:val="3"/>
          <w:numId w:val="1"/>
        </w:numPr>
        <w:ind w:left="720"/>
      </w:pPr>
      <w:r>
        <w:rPr>
          <w:b/>
        </w:rPr>
        <w:t>Hawaii Combined</w:t>
      </w:r>
    </w:p>
    <w:p w14:paraId="02FC0069" w14:textId="6065BA5E" w:rsidR="00804A84" w:rsidRPr="00804A84" w:rsidRDefault="00804A84" w:rsidP="00615183">
      <w:pPr>
        <w:pStyle w:val="ListParagraph"/>
        <w:numPr>
          <w:ilvl w:val="3"/>
          <w:numId w:val="1"/>
        </w:numPr>
        <w:ind w:left="720"/>
      </w:pPr>
      <w:r>
        <w:rPr>
          <w:b/>
        </w:rPr>
        <w:t>New Mexico General</w:t>
      </w:r>
    </w:p>
    <w:p w14:paraId="39AB9FF6" w14:textId="6F8BBD30" w:rsidR="00804A84" w:rsidRDefault="00804A84" w:rsidP="00615183">
      <w:pPr>
        <w:pStyle w:val="ListParagraph"/>
        <w:numPr>
          <w:ilvl w:val="3"/>
          <w:numId w:val="1"/>
        </w:numPr>
        <w:ind w:left="720"/>
      </w:pPr>
      <w:r>
        <w:rPr>
          <w:b/>
        </w:rPr>
        <w:t>South Carolina General</w:t>
      </w:r>
    </w:p>
    <w:p w14:paraId="026B684B" w14:textId="248680CD" w:rsidR="00F41A7A" w:rsidRDefault="00F41A7A" w:rsidP="00F41A7A">
      <w:pPr>
        <w:pStyle w:val="Heading2"/>
        <w:spacing w:before="240" w:after="120"/>
      </w:pPr>
      <w:bookmarkStart w:id="6" w:name="_Toc102116132"/>
      <w:r>
        <w:t>SWOT assessment to</w:t>
      </w:r>
      <w:r w:rsidR="004445BF">
        <w:t>o</w:t>
      </w:r>
      <w:r>
        <w:t>ls development and assessments conducted</w:t>
      </w:r>
      <w:bookmarkEnd w:id="6"/>
    </w:p>
    <w:p w14:paraId="50788646" w14:textId="302CC918" w:rsidR="00F41A7A" w:rsidRDefault="00F41A7A" w:rsidP="00D4197A">
      <w:pPr>
        <w:pStyle w:val="NoSpacing"/>
      </w:pPr>
      <w:r>
        <w:t xml:space="preserve">There have been </w:t>
      </w:r>
      <w:r w:rsidR="00804A84">
        <w:t>ten</w:t>
      </w:r>
      <w:r>
        <w:t xml:space="preserve"> SWOT analyses conducted since the project began. The SWOT questions were reviewed and approved by RSA. </w:t>
      </w:r>
      <w:proofErr w:type="gramStart"/>
      <w:r w:rsidR="00804A84">
        <w:t>All of</w:t>
      </w:r>
      <w:proofErr w:type="gramEnd"/>
      <w:r w:rsidR="00804A84">
        <w:t xml:space="preserve"> the agencies listed as having intensive TA agreements had a SWOT completed. In addition, </w:t>
      </w:r>
      <w:r w:rsidR="001309A3">
        <w:t xml:space="preserve">South Carolina General, </w:t>
      </w:r>
      <w:r w:rsidR="00804A84">
        <w:t>Florida General and Hawaii Combined had a SWOT completed this quarter</w:t>
      </w:r>
      <w:r w:rsidR="001309A3">
        <w:t>. As of this writing, Hawaii and Florida have signed ITAAs in place, thought his happened in the first month of the third quarter.</w:t>
      </w:r>
    </w:p>
    <w:p w14:paraId="71557D53" w14:textId="77777777" w:rsidR="006039A1" w:rsidRDefault="006039A1">
      <w:pPr>
        <w:rPr>
          <w:b/>
          <w:sz w:val="28"/>
        </w:rPr>
      </w:pPr>
      <w:r>
        <w:br w:type="page"/>
      </w:r>
    </w:p>
    <w:p w14:paraId="26B04E43" w14:textId="223BF5E8" w:rsidR="00DC0625" w:rsidRDefault="00DC0625" w:rsidP="00DC0625">
      <w:pPr>
        <w:pStyle w:val="Heading2"/>
        <w:spacing w:before="240"/>
      </w:pPr>
      <w:bookmarkStart w:id="7" w:name="_Toc102116133"/>
      <w:r>
        <w:lastRenderedPageBreak/>
        <w:t>Program Evaluation:</w:t>
      </w:r>
      <w:bookmarkEnd w:id="7"/>
    </w:p>
    <w:p w14:paraId="5BE9B66C" w14:textId="412B7A08" w:rsidR="006C6D1C" w:rsidRDefault="005C5959" w:rsidP="00AF5BF7">
      <w:pPr>
        <w:pStyle w:val="Style1"/>
        <w:rPr>
          <w:b/>
          <w:sz w:val="28"/>
        </w:rPr>
      </w:pPr>
      <w:r>
        <w:t>The mid-year program evaluation report will be submitted 30 days after this report is completed as the data in this report is necessary</w:t>
      </w:r>
      <w:r w:rsidR="006C6D1C">
        <w:t xml:space="preserve"> to complete the report.  </w:t>
      </w:r>
    </w:p>
    <w:p w14:paraId="10A511E6" w14:textId="08D03A7F" w:rsidR="002C2CD0" w:rsidRPr="0045221A" w:rsidRDefault="002C2CD0" w:rsidP="002C2CD0">
      <w:pPr>
        <w:pStyle w:val="Heading1"/>
        <w:spacing w:before="360"/>
      </w:pPr>
      <w:bookmarkStart w:id="8" w:name="_Toc102116134"/>
      <w:r w:rsidRPr="0045221A">
        <w:t>Targeted TA</w:t>
      </w:r>
      <w:bookmarkEnd w:id="8"/>
    </w:p>
    <w:p w14:paraId="27AC6A17" w14:textId="32B8EDEF" w:rsidR="002C2CD0" w:rsidRDefault="003734A3" w:rsidP="002C2CD0">
      <w:pPr>
        <w:pStyle w:val="Style1"/>
      </w:pPr>
      <w:r>
        <w:t xml:space="preserve">The requests for targeted TA in the second quarter were significant and increased </w:t>
      </w:r>
      <w:r w:rsidR="008800A9">
        <w:t xml:space="preserve">from the </w:t>
      </w:r>
      <w:proofErr w:type="spellStart"/>
      <w:r w:rsidR="008800A9">
        <w:t>irst</w:t>
      </w:r>
      <w:proofErr w:type="spellEnd"/>
      <w:r w:rsidR="008800A9">
        <w:t xml:space="preserve"> quarter of Year Two</w:t>
      </w:r>
      <w:r>
        <w:t>.</w:t>
      </w:r>
      <w:r w:rsidR="00C450D9">
        <w:t xml:space="preserve">  </w:t>
      </w:r>
    </w:p>
    <w:p w14:paraId="1C6EBD6A" w14:textId="77777777" w:rsidR="002C2CD0" w:rsidRDefault="00C450D9" w:rsidP="00C450D9">
      <w:pPr>
        <w:pStyle w:val="Heading2"/>
      </w:pPr>
      <w:bookmarkStart w:id="9" w:name="_Toc102116135"/>
      <w:r>
        <w:t xml:space="preserve">Number of events by type, topic, </w:t>
      </w:r>
      <w:proofErr w:type="gramStart"/>
      <w:r>
        <w:t>agency</w:t>
      </w:r>
      <w:proofErr w:type="gramEnd"/>
      <w:r>
        <w:t xml:space="preserve"> and number served:</w:t>
      </w:r>
      <w:bookmarkEnd w:id="9"/>
    </w:p>
    <w:p w14:paraId="5F6542CE" w14:textId="7575BE8B" w:rsidR="002C2CD0" w:rsidRPr="00FC7941" w:rsidRDefault="002C2CD0" w:rsidP="002C2CD0">
      <w:pPr>
        <w:pStyle w:val="Style1"/>
        <w:rPr>
          <w:i/>
        </w:rPr>
      </w:pPr>
      <w:r>
        <w:t xml:space="preserve">Table 1: </w:t>
      </w:r>
      <w:r w:rsidRPr="00FC7941">
        <w:rPr>
          <w:i/>
        </w:rPr>
        <w:t xml:space="preserve">Targeted TA and Training during the </w:t>
      </w:r>
      <w:r w:rsidR="003734A3">
        <w:rPr>
          <w:i/>
        </w:rPr>
        <w:t>2</w:t>
      </w:r>
      <w:r w:rsidR="003734A3" w:rsidRPr="003734A3">
        <w:rPr>
          <w:i/>
          <w:vertAlign w:val="superscript"/>
        </w:rPr>
        <w:t>nd</w:t>
      </w:r>
      <w:r w:rsidR="003734A3">
        <w:rPr>
          <w:i/>
        </w:rPr>
        <w:t xml:space="preserve"> </w:t>
      </w:r>
      <w:r w:rsidRPr="00FC7941">
        <w:rPr>
          <w:i/>
        </w:rPr>
        <w:t xml:space="preserve">Quarter of Year </w:t>
      </w:r>
      <w:r w:rsidR="008800A9">
        <w:rPr>
          <w:i/>
        </w:rPr>
        <w:t>Two</w:t>
      </w:r>
    </w:p>
    <w:tbl>
      <w:tblPr>
        <w:tblW w:w="9740" w:type="dxa"/>
        <w:tblLook w:val="04A0" w:firstRow="1" w:lastRow="0" w:firstColumn="1" w:lastColumn="0" w:noHBand="0" w:noVBand="1"/>
      </w:tblPr>
      <w:tblGrid>
        <w:gridCol w:w="2580"/>
        <w:gridCol w:w="5740"/>
        <w:gridCol w:w="1420"/>
      </w:tblGrid>
      <w:tr w:rsidR="001D44A6" w:rsidRPr="001D44A6" w14:paraId="4297DBCA" w14:textId="77777777" w:rsidTr="001D44A6">
        <w:trPr>
          <w:trHeight w:val="520"/>
          <w:tblHeader/>
        </w:trPr>
        <w:tc>
          <w:tcPr>
            <w:tcW w:w="9740"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57CDF86" w14:textId="77777777" w:rsidR="001D44A6" w:rsidRPr="001D44A6" w:rsidRDefault="001D44A6" w:rsidP="001D44A6">
            <w:pPr>
              <w:spacing w:after="0" w:line="240" w:lineRule="auto"/>
              <w:jc w:val="center"/>
              <w:rPr>
                <w:rFonts w:eastAsia="Times New Roman"/>
                <w:b/>
                <w:bCs/>
                <w:color w:val="000000"/>
                <w:sz w:val="28"/>
                <w:szCs w:val="28"/>
              </w:rPr>
            </w:pPr>
            <w:r w:rsidRPr="001D44A6">
              <w:rPr>
                <w:rFonts w:eastAsia="Times New Roman"/>
                <w:b/>
                <w:bCs/>
                <w:color w:val="000000"/>
                <w:sz w:val="28"/>
                <w:szCs w:val="28"/>
              </w:rPr>
              <w:t>Targeted TA in Year 2 Quarter 2</w:t>
            </w:r>
          </w:p>
        </w:tc>
      </w:tr>
      <w:tr w:rsidR="001D44A6" w:rsidRPr="001D44A6" w14:paraId="09790646" w14:textId="77777777" w:rsidTr="001D44A6">
        <w:trPr>
          <w:trHeight w:val="900"/>
          <w:tblHeader/>
        </w:trPr>
        <w:tc>
          <w:tcPr>
            <w:tcW w:w="2580" w:type="dxa"/>
            <w:tcBorders>
              <w:top w:val="nil"/>
              <w:left w:val="single" w:sz="4" w:space="0" w:color="auto"/>
              <w:bottom w:val="single" w:sz="4" w:space="0" w:color="auto"/>
              <w:right w:val="single" w:sz="4" w:space="0" w:color="auto"/>
            </w:tcBorders>
            <w:shd w:val="clear" w:color="000000" w:fill="F8CBAD"/>
            <w:vAlign w:val="center"/>
            <w:hideMark/>
          </w:tcPr>
          <w:p w14:paraId="56D7B27E" w14:textId="77777777" w:rsidR="001D44A6" w:rsidRPr="001D44A6" w:rsidRDefault="001D44A6" w:rsidP="001D44A6">
            <w:pPr>
              <w:spacing w:after="0" w:line="240" w:lineRule="auto"/>
              <w:jc w:val="center"/>
              <w:rPr>
                <w:rFonts w:eastAsia="Times New Roman"/>
                <w:b/>
                <w:bCs/>
                <w:color w:val="000000"/>
              </w:rPr>
            </w:pPr>
            <w:r w:rsidRPr="001D44A6">
              <w:rPr>
                <w:rFonts w:eastAsia="Times New Roman"/>
                <w:b/>
                <w:bCs/>
                <w:color w:val="000000"/>
              </w:rPr>
              <w:t>Agency</w:t>
            </w:r>
          </w:p>
        </w:tc>
        <w:tc>
          <w:tcPr>
            <w:tcW w:w="5740" w:type="dxa"/>
            <w:tcBorders>
              <w:top w:val="nil"/>
              <w:left w:val="nil"/>
              <w:bottom w:val="single" w:sz="4" w:space="0" w:color="auto"/>
              <w:right w:val="single" w:sz="4" w:space="0" w:color="auto"/>
            </w:tcBorders>
            <w:shd w:val="clear" w:color="000000" w:fill="F8CBAD"/>
            <w:vAlign w:val="center"/>
            <w:hideMark/>
          </w:tcPr>
          <w:p w14:paraId="2BE76B02" w14:textId="77777777" w:rsidR="001D44A6" w:rsidRPr="001D44A6" w:rsidRDefault="001D44A6" w:rsidP="001D44A6">
            <w:pPr>
              <w:spacing w:after="0" w:line="240" w:lineRule="auto"/>
              <w:jc w:val="center"/>
              <w:rPr>
                <w:rFonts w:eastAsia="Times New Roman"/>
                <w:b/>
                <w:bCs/>
                <w:color w:val="000000"/>
              </w:rPr>
            </w:pPr>
            <w:r w:rsidRPr="001D44A6">
              <w:rPr>
                <w:rFonts w:eastAsia="Times New Roman"/>
                <w:b/>
                <w:bCs/>
                <w:color w:val="000000"/>
              </w:rPr>
              <w:t>Request</w:t>
            </w:r>
          </w:p>
        </w:tc>
        <w:tc>
          <w:tcPr>
            <w:tcW w:w="1420" w:type="dxa"/>
            <w:tcBorders>
              <w:top w:val="nil"/>
              <w:left w:val="nil"/>
              <w:bottom w:val="single" w:sz="4" w:space="0" w:color="auto"/>
              <w:right w:val="single" w:sz="4" w:space="0" w:color="auto"/>
            </w:tcBorders>
            <w:shd w:val="clear" w:color="000000" w:fill="F8CBAD"/>
            <w:vAlign w:val="center"/>
            <w:hideMark/>
          </w:tcPr>
          <w:p w14:paraId="68010065" w14:textId="77777777" w:rsidR="001D44A6" w:rsidRPr="001D44A6" w:rsidRDefault="001D44A6" w:rsidP="001D44A6">
            <w:pPr>
              <w:spacing w:after="0" w:line="240" w:lineRule="auto"/>
              <w:jc w:val="center"/>
              <w:rPr>
                <w:rFonts w:eastAsia="Times New Roman"/>
                <w:b/>
                <w:bCs/>
                <w:color w:val="000000"/>
              </w:rPr>
            </w:pPr>
            <w:r w:rsidRPr="001D44A6">
              <w:rPr>
                <w:rFonts w:eastAsia="Times New Roman"/>
                <w:b/>
                <w:bCs/>
                <w:color w:val="000000"/>
              </w:rPr>
              <w:t>Number Receiving TA</w:t>
            </w:r>
          </w:p>
        </w:tc>
      </w:tr>
      <w:tr w:rsidR="001D44A6" w:rsidRPr="001D44A6" w14:paraId="7C62A6B3"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2F26E45"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Alaska Combined</w:t>
            </w:r>
          </w:p>
        </w:tc>
        <w:tc>
          <w:tcPr>
            <w:tcW w:w="5740" w:type="dxa"/>
            <w:tcBorders>
              <w:top w:val="nil"/>
              <w:left w:val="nil"/>
              <w:bottom w:val="single" w:sz="4" w:space="0" w:color="auto"/>
              <w:right w:val="single" w:sz="4" w:space="0" w:color="auto"/>
            </w:tcBorders>
            <w:shd w:val="clear" w:color="auto" w:fill="auto"/>
            <w:vAlign w:val="center"/>
            <w:hideMark/>
          </w:tcPr>
          <w:p w14:paraId="297D0171"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CAP response and work plan</w:t>
            </w:r>
          </w:p>
        </w:tc>
        <w:tc>
          <w:tcPr>
            <w:tcW w:w="1420" w:type="dxa"/>
            <w:tcBorders>
              <w:top w:val="nil"/>
              <w:left w:val="nil"/>
              <w:bottom w:val="single" w:sz="4" w:space="0" w:color="auto"/>
              <w:right w:val="single" w:sz="4" w:space="0" w:color="auto"/>
            </w:tcBorders>
            <w:shd w:val="clear" w:color="auto" w:fill="auto"/>
            <w:vAlign w:val="center"/>
            <w:hideMark/>
          </w:tcPr>
          <w:p w14:paraId="3BAD249E"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25</w:t>
            </w:r>
          </w:p>
        </w:tc>
      </w:tr>
      <w:tr w:rsidR="001D44A6" w:rsidRPr="001D44A6" w14:paraId="7BD497B7"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FA2110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American Samoa</w:t>
            </w:r>
          </w:p>
        </w:tc>
        <w:tc>
          <w:tcPr>
            <w:tcW w:w="5740" w:type="dxa"/>
            <w:tcBorders>
              <w:top w:val="nil"/>
              <w:left w:val="nil"/>
              <w:bottom w:val="single" w:sz="4" w:space="0" w:color="auto"/>
              <w:right w:val="single" w:sz="4" w:space="0" w:color="auto"/>
            </w:tcBorders>
            <w:shd w:val="clear" w:color="auto" w:fill="auto"/>
            <w:vAlign w:val="center"/>
            <w:hideMark/>
          </w:tcPr>
          <w:p w14:paraId="3774C21E"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911 reporting and submission</w:t>
            </w:r>
          </w:p>
        </w:tc>
        <w:tc>
          <w:tcPr>
            <w:tcW w:w="1420" w:type="dxa"/>
            <w:tcBorders>
              <w:top w:val="nil"/>
              <w:left w:val="nil"/>
              <w:bottom w:val="single" w:sz="4" w:space="0" w:color="auto"/>
              <w:right w:val="single" w:sz="4" w:space="0" w:color="auto"/>
            </w:tcBorders>
            <w:shd w:val="clear" w:color="auto" w:fill="auto"/>
            <w:vAlign w:val="center"/>
            <w:hideMark/>
          </w:tcPr>
          <w:p w14:paraId="1547BAC3"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7785A1CE"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5CD2F4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Arizona Combined </w:t>
            </w:r>
          </w:p>
        </w:tc>
        <w:tc>
          <w:tcPr>
            <w:tcW w:w="5740" w:type="dxa"/>
            <w:tcBorders>
              <w:top w:val="nil"/>
              <w:left w:val="nil"/>
              <w:bottom w:val="single" w:sz="4" w:space="0" w:color="auto"/>
              <w:right w:val="single" w:sz="4" w:space="0" w:color="auto"/>
            </w:tcBorders>
            <w:shd w:val="clear" w:color="auto" w:fill="auto"/>
            <w:vAlign w:val="center"/>
            <w:hideMark/>
          </w:tcPr>
          <w:p w14:paraId="4B9AC07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CMS data collection and reporting; Policy review</w:t>
            </w:r>
          </w:p>
        </w:tc>
        <w:tc>
          <w:tcPr>
            <w:tcW w:w="1420" w:type="dxa"/>
            <w:tcBorders>
              <w:top w:val="nil"/>
              <w:left w:val="nil"/>
              <w:bottom w:val="single" w:sz="4" w:space="0" w:color="auto"/>
              <w:right w:val="single" w:sz="4" w:space="0" w:color="auto"/>
            </w:tcBorders>
            <w:shd w:val="clear" w:color="auto" w:fill="auto"/>
            <w:vAlign w:val="center"/>
            <w:hideMark/>
          </w:tcPr>
          <w:p w14:paraId="0AD70FCB"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6D116EC3"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C9D4B7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Arkansas Blind</w:t>
            </w:r>
          </w:p>
        </w:tc>
        <w:tc>
          <w:tcPr>
            <w:tcW w:w="5740" w:type="dxa"/>
            <w:tcBorders>
              <w:top w:val="nil"/>
              <w:left w:val="nil"/>
              <w:bottom w:val="single" w:sz="4" w:space="0" w:color="auto"/>
              <w:right w:val="single" w:sz="4" w:space="0" w:color="auto"/>
            </w:tcBorders>
            <w:shd w:val="clear" w:color="auto" w:fill="auto"/>
            <w:vAlign w:val="center"/>
            <w:hideMark/>
          </w:tcPr>
          <w:p w14:paraId="19657A0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Fiscal reporting prior to ITAA; PARS contract development</w:t>
            </w:r>
          </w:p>
        </w:tc>
        <w:tc>
          <w:tcPr>
            <w:tcW w:w="1420" w:type="dxa"/>
            <w:tcBorders>
              <w:top w:val="nil"/>
              <w:left w:val="nil"/>
              <w:bottom w:val="single" w:sz="4" w:space="0" w:color="auto"/>
              <w:right w:val="single" w:sz="4" w:space="0" w:color="auto"/>
            </w:tcBorders>
            <w:shd w:val="clear" w:color="auto" w:fill="auto"/>
            <w:vAlign w:val="center"/>
            <w:hideMark/>
          </w:tcPr>
          <w:p w14:paraId="650788A1"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10</w:t>
            </w:r>
          </w:p>
        </w:tc>
      </w:tr>
      <w:tr w:rsidR="001D44A6" w:rsidRPr="001D44A6" w14:paraId="4AE10887"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0D32CB8"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California Combined</w:t>
            </w:r>
          </w:p>
        </w:tc>
        <w:tc>
          <w:tcPr>
            <w:tcW w:w="5740" w:type="dxa"/>
            <w:tcBorders>
              <w:top w:val="nil"/>
              <w:left w:val="nil"/>
              <w:bottom w:val="single" w:sz="4" w:space="0" w:color="auto"/>
              <w:right w:val="single" w:sz="4" w:space="0" w:color="auto"/>
            </w:tcBorders>
            <w:shd w:val="clear" w:color="auto" w:fill="auto"/>
            <w:vAlign w:val="center"/>
            <w:hideMark/>
          </w:tcPr>
          <w:p w14:paraId="50676EA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TPCAs; data analytics and reporting and performance levels; internal controls</w:t>
            </w:r>
          </w:p>
        </w:tc>
        <w:tc>
          <w:tcPr>
            <w:tcW w:w="1420" w:type="dxa"/>
            <w:tcBorders>
              <w:top w:val="nil"/>
              <w:left w:val="nil"/>
              <w:bottom w:val="single" w:sz="4" w:space="0" w:color="auto"/>
              <w:right w:val="single" w:sz="4" w:space="0" w:color="auto"/>
            </w:tcBorders>
            <w:shd w:val="clear" w:color="auto" w:fill="auto"/>
            <w:vAlign w:val="center"/>
            <w:hideMark/>
          </w:tcPr>
          <w:p w14:paraId="2B0DC8E7"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13</w:t>
            </w:r>
          </w:p>
        </w:tc>
      </w:tr>
      <w:tr w:rsidR="001D44A6" w:rsidRPr="001D44A6" w14:paraId="58617DB1"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6110F3E"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CNMI Combined</w:t>
            </w:r>
          </w:p>
        </w:tc>
        <w:tc>
          <w:tcPr>
            <w:tcW w:w="5740" w:type="dxa"/>
            <w:tcBorders>
              <w:top w:val="nil"/>
              <w:left w:val="nil"/>
              <w:bottom w:val="single" w:sz="4" w:space="0" w:color="auto"/>
              <w:right w:val="single" w:sz="4" w:space="0" w:color="auto"/>
            </w:tcBorders>
            <w:shd w:val="clear" w:color="auto" w:fill="auto"/>
            <w:vAlign w:val="center"/>
            <w:hideMark/>
          </w:tcPr>
          <w:p w14:paraId="47827C17"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Policy review and Q&amp;A on multiple topics; Leadership development</w:t>
            </w:r>
          </w:p>
        </w:tc>
        <w:tc>
          <w:tcPr>
            <w:tcW w:w="1420" w:type="dxa"/>
            <w:tcBorders>
              <w:top w:val="nil"/>
              <w:left w:val="nil"/>
              <w:bottom w:val="single" w:sz="4" w:space="0" w:color="auto"/>
              <w:right w:val="single" w:sz="4" w:space="0" w:color="auto"/>
            </w:tcBorders>
            <w:shd w:val="clear" w:color="auto" w:fill="auto"/>
            <w:vAlign w:val="center"/>
            <w:hideMark/>
          </w:tcPr>
          <w:p w14:paraId="73DF4B87"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5</w:t>
            </w:r>
          </w:p>
        </w:tc>
      </w:tr>
      <w:tr w:rsidR="001D44A6" w:rsidRPr="001D44A6" w14:paraId="03AB7863"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F1FCEB0"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Colorado Combined</w:t>
            </w:r>
          </w:p>
        </w:tc>
        <w:tc>
          <w:tcPr>
            <w:tcW w:w="5740" w:type="dxa"/>
            <w:tcBorders>
              <w:top w:val="nil"/>
              <w:left w:val="nil"/>
              <w:bottom w:val="single" w:sz="4" w:space="0" w:color="auto"/>
              <w:right w:val="single" w:sz="4" w:space="0" w:color="auto"/>
            </w:tcBorders>
            <w:shd w:val="clear" w:color="auto" w:fill="auto"/>
            <w:vAlign w:val="center"/>
            <w:hideMark/>
          </w:tcPr>
          <w:p w14:paraId="7248F22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Unused funds TA</w:t>
            </w:r>
          </w:p>
        </w:tc>
        <w:tc>
          <w:tcPr>
            <w:tcW w:w="1420" w:type="dxa"/>
            <w:tcBorders>
              <w:top w:val="nil"/>
              <w:left w:val="nil"/>
              <w:bottom w:val="single" w:sz="4" w:space="0" w:color="auto"/>
              <w:right w:val="single" w:sz="4" w:space="0" w:color="auto"/>
            </w:tcBorders>
            <w:shd w:val="clear" w:color="auto" w:fill="auto"/>
            <w:vAlign w:val="center"/>
            <w:hideMark/>
          </w:tcPr>
          <w:p w14:paraId="737FAA0C"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6</w:t>
            </w:r>
          </w:p>
        </w:tc>
      </w:tr>
      <w:tr w:rsidR="001D44A6" w:rsidRPr="001D44A6" w14:paraId="1912ED3E"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4362256"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Connecticut General</w:t>
            </w:r>
          </w:p>
        </w:tc>
        <w:tc>
          <w:tcPr>
            <w:tcW w:w="5740" w:type="dxa"/>
            <w:tcBorders>
              <w:top w:val="nil"/>
              <w:left w:val="nil"/>
              <w:bottom w:val="single" w:sz="4" w:space="0" w:color="auto"/>
              <w:right w:val="single" w:sz="4" w:space="0" w:color="auto"/>
            </w:tcBorders>
            <w:shd w:val="clear" w:color="auto" w:fill="auto"/>
            <w:vAlign w:val="center"/>
            <w:hideMark/>
          </w:tcPr>
          <w:p w14:paraId="0BD03C2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Program and performance QM; staff recruitment and retention; CMS data collection and reporting</w:t>
            </w:r>
          </w:p>
        </w:tc>
        <w:tc>
          <w:tcPr>
            <w:tcW w:w="1420" w:type="dxa"/>
            <w:tcBorders>
              <w:top w:val="nil"/>
              <w:left w:val="nil"/>
              <w:bottom w:val="single" w:sz="4" w:space="0" w:color="auto"/>
              <w:right w:val="single" w:sz="4" w:space="0" w:color="auto"/>
            </w:tcBorders>
            <w:shd w:val="clear" w:color="auto" w:fill="auto"/>
            <w:vAlign w:val="center"/>
            <w:hideMark/>
          </w:tcPr>
          <w:p w14:paraId="4EA13249"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3</w:t>
            </w:r>
          </w:p>
        </w:tc>
      </w:tr>
      <w:tr w:rsidR="001D44A6" w:rsidRPr="001D44A6" w14:paraId="1CEEE5C1"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6242B6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Delaware Blind</w:t>
            </w:r>
          </w:p>
        </w:tc>
        <w:tc>
          <w:tcPr>
            <w:tcW w:w="5740" w:type="dxa"/>
            <w:tcBorders>
              <w:top w:val="nil"/>
              <w:left w:val="nil"/>
              <w:bottom w:val="single" w:sz="4" w:space="0" w:color="auto"/>
              <w:right w:val="single" w:sz="4" w:space="0" w:color="auto"/>
            </w:tcBorders>
            <w:shd w:val="clear" w:color="auto" w:fill="auto"/>
            <w:vAlign w:val="center"/>
            <w:hideMark/>
          </w:tcPr>
          <w:p w14:paraId="34A1097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Program and performance QM not related to their ITAA; CMS data collection and reporting; rapid engagement</w:t>
            </w:r>
          </w:p>
        </w:tc>
        <w:tc>
          <w:tcPr>
            <w:tcW w:w="1420" w:type="dxa"/>
            <w:tcBorders>
              <w:top w:val="nil"/>
              <w:left w:val="nil"/>
              <w:bottom w:val="single" w:sz="4" w:space="0" w:color="auto"/>
              <w:right w:val="single" w:sz="4" w:space="0" w:color="auto"/>
            </w:tcBorders>
            <w:shd w:val="clear" w:color="auto" w:fill="auto"/>
            <w:vAlign w:val="center"/>
            <w:hideMark/>
          </w:tcPr>
          <w:p w14:paraId="20F61E23"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4</w:t>
            </w:r>
          </w:p>
        </w:tc>
      </w:tr>
      <w:tr w:rsidR="001D44A6" w:rsidRPr="001D44A6" w14:paraId="3EA6CB7E"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3F0EA11"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Florida General</w:t>
            </w:r>
          </w:p>
        </w:tc>
        <w:tc>
          <w:tcPr>
            <w:tcW w:w="5740" w:type="dxa"/>
            <w:tcBorders>
              <w:top w:val="nil"/>
              <w:left w:val="nil"/>
              <w:bottom w:val="single" w:sz="4" w:space="0" w:color="auto"/>
              <w:right w:val="single" w:sz="4" w:space="0" w:color="auto"/>
            </w:tcBorders>
            <w:shd w:val="clear" w:color="auto" w:fill="auto"/>
            <w:vAlign w:val="center"/>
            <w:hideMark/>
          </w:tcPr>
          <w:p w14:paraId="1C50568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Tracking and reporting; fiscal resources and training</w:t>
            </w:r>
          </w:p>
        </w:tc>
        <w:tc>
          <w:tcPr>
            <w:tcW w:w="1420" w:type="dxa"/>
            <w:tcBorders>
              <w:top w:val="nil"/>
              <w:left w:val="nil"/>
              <w:bottom w:val="single" w:sz="4" w:space="0" w:color="auto"/>
              <w:right w:val="single" w:sz="4" w:space="0" w:color="auto"/>
            </w:tcBorders>
            <w:shd w:val="clear" w:color="auto" w:fill="auto"/>
            <w:vAlign w:val="center"/>
            <w:hideMark/>
          </w:tcPr>
          <w:p w14:paraId="51157142"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78618CB8"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FD96470"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Guam Combined </w:t>
            </w:r>
          </w:p>
        </w:tc>
        <w:tc>
          <w:tcPr>
            <w:tcW w:w="5740" w:type="dxa"/>
            <w:tcBorders>
              <w:top w:val="nil"/>
              <w:left w:val="nil"/>
              <w:bottom w:val="single" w:sz="4" w:space="0" w:color="auto"/>
              <w:right w:val="single" w:sz="4" w:space="0" w:color="auto"/>
            </w:tcBorders>
            <w:shd w:val="clear" w:color="auto" w:fill="auto"/>
            <w:vAlign w:val="center"/>
            <w:hideMark/>
          </w:tcPr>
          <w:p w14:paraId="71EED0FC"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pre-ETS</w:t>
            </w:r>
          </w:p>
        </w:tc>
        <w:tc>
          <w:tcPr>
            <w:tcW w:w="1420" w:type="dxa"/>
            <w:tcBorders>
              <w:top w:val="nil"/>
              <w:left w:val="nil"/>
              <w:bottom w:val="single" w:sz="4" w:space="0" w:color="auto"/>
              <w:right w:val="single" w:sz="4" w:space="0" w:color="auto"/>
            </w:tcBorders>
            <w:shd w:val="clear" w:color="auto" w:fill="auto"/>
            <w:vAlign w:val="center"/>
            <w:hideMark/>
          </w:tcPr>
          <w:p w14:paraId="71D44B81"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35314F82"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1606E99"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Hawaii Combined </w:t>
            </w:r>
          </w:p>
        </w:tc>
        <w:tc>
          <w:tcPr>
            <w:tcW w:w="5740" w:type="dxa"/>
            <w:tcBorders>
              <w:top w:val="nil"/>
              <w:left w:val="nil"/>
              <w:bottom w:val="single" w:sz="4" w:space="0" w:color="auto"/>
              <w:right w:val="single" w:sz="4" w:space="0" w:color="auto"/>
            </w:tcBorders>
            <w:shd w:val="clear" w:color="auto" w:fill="auto"/>
            <w:vAlign w:val="center"/>
            <w:hideMark/>
          </w:tcPr>
          <w:p w14:paraId="7B7FB1E1"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Staff training on eligibility; completed SWOT; pre-ETS fiscal; match; P&amp;P review; internal controls</w:t>
            </w:r>
          </w:p>
        </w:tc>
        <w:tc>
          <w:tcPr>
            <w:tcW w:w="1420" w:type="dxa"/>
            <w:tcBorders>
              <w:top w:val="nil"/>
              <w:left w:val="nil"/>
              <w:bottom w:val="single" w:sz="4" w:space="0" w:color="auto"/>
              <w:right w:val="single" w:sz="4" w:space="0" w:color="auto"/>
            </w:tcBorders>
            <w:shd w:val="clear" w:color="auto" w:fill="auto"/>
            <w:vAlign w:val="center"/>
            <w:hideMark/>
          </w:tcPr>
          <w:p w14:paraId="6CD7FDD2"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55</w:t>
            </w:r>
          </w:p>
        </w:tc>
      </w:tr>
      <w:tr w:rsidR="001D44A6" w:rsidRPr="001D44A6" w14:paraId="77210035"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FC40F8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Idaho Blind</w:t>
            </w:r>
          </w:p>
        </w:tc>
        <w:tc>
          <w:tcPr>
            <w:tcW w:w="5740" w:type="dxa"/>
            <w:tcBorders>
              <w:top w:val="nil"/>
              <w:left w:val="nil"/>
              <w:bottom w:val="single" w:sz="4" w:space="0" w:color="auto"/>
              <w:right w:val="single" w:sz="4" w:space="0" w:color="auto"/>
            </w:tcBorders>
            <w:shd w:val="clear" w:color="auto" w:fill="auto"/>
            <w:vAlign w:val="center"/>
            <w:hideMark/>
          </w:tcPr>
          <w:p w14:paraId="5F95B8E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Internal controls and monitoring prep; reporting and pre-ETS fiscal and reporting</w:t>
            </w:r>
          </w:p>
        </w:tc>
        <w:tc>
          <w:tcPr>
            <w:tcW w:w="1420" w:type="dxa"/>
            <w:tcBorders>
              <w:top w:val="nil"/>
              <w:left w:val="nil"/>
              <w:bottom w:val="single" w:sz="4" w:space="0" w:color="auto"/>
              <w:right w:val="single" w:sz="4" w:space="0" w:color="auto"/>
            </w:tcBorders>
            <w:shd w:val="clear" w:color="auto" w:fill="auto"/>
            <w:vAlign w:val="center"/>
            <w:hideMark/>
          </w:tcPr>
          <w:p w14:paraId="0DE3CC4B"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5</w:t>
            </w:r>
          </w:p>
        </w:tc>
      </w:tr>
      <w:tr w:rsidR="001D44A6" w:rsidRPr="001D44A6" w14:paraId="15680C27"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811DC7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Idaho General</w:t>
            </w:r>
          </w:p>
        </w:tc>
        <w:tc>
          <w:tcPr>
            <w:tcW w:w="5740" w:type="dxa"/>
            <w:tcBorders>
              <w:top w:val="nil"/>
              <w:left w:val="nil"/>
              <w:bottom w:val="single" w:sz="4" w:space="0" w:color="auto"/>
              <w:right w:val="single" w:sz="4" w:space="0" w:color="auto"/>
            </w:tcBorders>
            <w:shd w:val="clear" w:color="auto" w:fill="auto"/>
            <w:vAlign w:val="center"/>
            <w:hideMark/>
          </w:tcPr>
          <w:p w14:paraId="70440B76"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Contract monitoring; staff retention best practices; internal controls</w:t>
            </w:r>
          </w:p>
        </w:tc>
        <w:tc>
          <w:tcPr>
            <w:tcW w:w="1420" w:type="dxa"/>
            <w:tcBorders>
              <w:top w:val="nil"/>
              <w:left w:val="nil"/>
              <w:bottom w:val="single" w:sz="4" w:space="0" w:color="auto"/>
              <w:right w:val="single" w:sz="4" w:space="0" w:color="auto"/>
            </w:tcBorders>
            <w:shd w:val="clear" w:color="auto" w:fill="auto"/>
            <w:vAlign w:val="center"/>
            <w:hideMark/>
          </w:tcPr>
          <w:p w14:paraId="7D789138"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5</w:t>
            </w:r>
          </w:p>
        </w:tc>
      </w:tr>
      <w:tr w:rsidR="001D44A6" w:rsidRPr="001D44A6" w14:paraId="36E9B3A1"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3A702E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Indiana Combined </w:t>
            </w:r>
          </w:p>
        </w:tc>
        <w:tc>
          <w:tcPr>
            <w:tcW w:w="5740" w:type="dxa"/>
            <w:tcBorders>
              <w:top w:val="nil"/>
              <w:left w:val="nil"/>
              <w:bottom w:val="single" w:sz="4" w:space="0" w:color="auto"/>
              <w:right w:val="single" w:sz="4" w:space="0" w:color="auto"/>
            </w:tcBorders>
            <w:shd w:val="clear" w:color="auto" w:fill="auto"/>
            <w:vAlign w:val="center"/>
            <w:hideMark/>
          </w:tcPr>
          <w:p w14:paraId="4927C78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Rapid engagement</w:t>
            </w:r>
          </w:p>
        </w:tc>
        <w:tc>
          <w:tcPr>
            <w:tcW w:w="1420" w:type="dxa"/>
            <w:tcBorders>
              <w:top w:val="nil"/>
              <w:left w:val="nil"/>
              <w:bottom w:val="single" w:sz="4" w:space="0" w:color="auto"/>
              <w:right w:val="single" w:sz="4" w:space="0" w:color="auto"/>
            </w:tcBorders>
            <w:shd w:val="clear" w:color="auto" w:fill="auto"/>
            <w:vAlign w:val="center"/>
            <w:hideMark/>
          </w:tcPr>
          <w:p w14:paraId="161ECEA1"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31E6F8F4"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E9D09B8"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Iowa Blind</w:t>
            </w:r>
          </w:p>
        </w:tc>
        <w:tc>
          <w:tcPr>
            <w:tcW w:w="5740" w:type="dxa"/>
            <w:tcBorders>
              <w:top w:val="nil"/>
              <w:left w:val="nil"/>
              <w:bottom w:val="single" w:sz="4" w:space="0" w:color="auto"/>
              <w:right w:val="single" w:sz="4" w:space="0" w:color="auto"/>
            </w:tcBorders>
            <w:shd w:val="clear" w:color="auto" w:fill="auto"/>
            <w:vAlign w:val="center"/>
            <w:hideMark/>
          </w:tcPr>
          <w:p w14:paraId="298AB6B4"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CE and SE Community partnerships</w:t>
            </w:r>
          </w:p>
        </w:tc>
        <w:tc>
          <w:tcPr>
            <w:tcW w:w="1420" w:type="dxa"/>
            <w:tcBorders>
              <w:top w:val="nil"/>
              <w:left w:val="nil"/>
              <w:bottom w:val="single" w:sz="4" w:space="0" w:color="auto"/>
              <w:right w:val="single" w:sz="4" w:space="0" w:color="auto"/>
            </w:tcBorders>
            <w:shd w:val="clear" w:color="auto" w:fill="auto"/>
            <w:vAlign w:val="center"/>
            <w:hideMark/>
          </w:tcPr>
          <w:p w14:paraId="498FEF95"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6515DCAF"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4E9699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Iowa General</w:t>
            </w:r>
          </w:p>
        </w:tc>
        <w:tc>
          <w:tcPr>
            <w:tcW w:w="5740" w:type="dxa"/>
            <w:tcBorders>
              <w:top w:val="nil"/>
              <w:left w:val="nil"/>
              <w:bottom w:val="single" w:sz="4" w:space="0" w:color="auto"/>
              <w:right w:val="single" w:sz="4" w:space="0" w:color="auto"/>
            </w:tcBorders>
            <w:shd w:val="clear" w:color="auto" w:fill="auto"/>
            <w:vAlign w:val="center"/>
            <w:hideMark/>
          </w:tcPr>
          <w:p w14:paraId="0985254C"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Grant management training</w:t>
            </w:r>
          </w:p>
        </w:tc>
        <w:tc>
          <w:tcPr>
            <w:tcW w:w="1420" w:type="dxa"/>
            <w:tcBorders>
              <w:top w:val="nil"/>
              <w:left w:val="nil"/>
              <w:bottom w:val="single" w:sz="4" w:space="0" w:color="auto"/>
              <w:right w:val="single" w:sz="4" w:space="0" w:color="auto"/>
            </w:tcBorders>
            <w:shd w:val="clear" w:color="auto" w:fill="auto"/>
            <w:vAlign w:val="center"/>
            <w:hideMark/>
          </w:tcPr>
          <w:p w14:paraId="53F47ABF"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68879419"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2C0039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lastRenderedPageBreak/>
              <w:t>Kansas</w:t>
            </w:r>
          </w:p>
        </w:tc>
        <w:tc>
          <w:tcPr>
            <w:tcW w:w="5740" w:type="dxa"/>
            <w:tcBorders>
              <w:top w:val="nil"/>
              <w:left w:val="nil"/>
              <w:bottom w:val="single" w:sz="4" w:space="0" w:color="auto"/>
              <w:right w:val="single" w:sz="4" w:space="0" w:color="auto"/>
            </w:tcBorders>
            <w:shd w:val="clear" w:color="auto" w:fill="auto"/>
            <w:vAlign w:val="center"/>
            <w:hideMark/>
          </w:tcPr>
          <w:p w14:paraId="6B574FE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Policy and procedure development - unrelated to ITAA</w:t>
            </w:r>
          </w:p>
        </w:tc>
        <w:tc>
          <w:tcPr>
            <w:tcW w:w="1420" w:type="dxa"/>
            <w:tcBorders>
              <w:top w:val="nil"/>
              <w:left w:val="nil"/>
              <w:bottom w:val="single" w:sz="4" w:space="0" w:color="auto"/>
              <w:right w:val="single" w:sz="4" w:space="0" w:color="auto"/>
            </w:tcBorders>
            <w:shd w:val="clear" w:color="auto" w:fill="auto"/>
            <w:vAlign w:val="center"/>
            <w:hideMark/>
          </w:tcPr>
          <w:p w14:paraId="0FA282FB"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4490822A" w14:textId="77777777" w:rsidTr="001D44A6">
        <w:trPr>
          <w:trHeight w:val="124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44976C6"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Kentucky Combined</w:t>
            </w:r>
          </w:p>
        </w:tc>
        <w:tc>
          <w:tcPr>
            <w:tcW w:w="5740" w:type="dxa"/>
            <w:tcBorders>
              <w:top w:val="nil"/>
              <w:left w:val="nil"/>
              <w:bottom w:val="single" w:sz="4" w:space="0" w:color="auto"/>
              <w:right w:val="single" w:sz="4" w:space="0" w:color="auto"/>
            </w:tcBorders>
            <w:shd w:val="clear" w:color="auto" w:fill="auto"/>
            <w:vAlign w:val="center"/>
            <w:hideMark/>
          </w:tcPr>
          <w:p w14:paraId="015E4EC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Fiscal and Resource QM; residency requirement; RSA 17; CAP response related to fiscal issues; Capital projects; field training on cost-principles and internal controls; prior approval</w:t>
            </w:r>
          </w:p>
        </w:tc>
        <w:tc>
          <w:tcPr>
            <w:tcW w:w="1420" w:type="dxa"/>
            <w:tcBorders>
              <w:top w:val="nil"/>
              <w:left w:val="nil"/>
              <w:bottom w:val="single" w:sz="4" w:space="0" w:color="auto"/>
              <w:right w:val="single" w:sz="4" w:space="0" w:color="auto"/>
            </w:tcBorders>
            <w:shd w:val="clear" w:color="auto" w:fill="auto"/>
            <w:vAlign w:val="center"/>
            <w:hideMark/>
          </w:tcPr>
          <w:p w14:paraId="1A017274"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330</w:t>
            </w:r>
          </w:p>
        </w:tc>
      </w:tr>
      <w:tr w:rsidR="001D44A6" w:rsidRPr="001D44A6" w14:paraId="34E64D28"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6DE692C"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Louisiana Combined </w:t>
            </w:r>
          </w:p>
        </w:tc>
        <w:tc>
          <w:tcPr>
            <w:tcW w:w="5740" w:type="dxa"/>
            <w:tcBorders>
              <w:top w:val="nil"/>
              <w:left w:val="nil"/>
              <w:bottom w:val="single" w:sz="4" w:space="0" w:color="auto"/>
              <w:right w:val="single" w:sz="4" w:space="0" w:color="auto"/>
            </w:tcBorders>
            <w:shd w:val="clear" w:color="auto" w:fill="auto"/>
            <w:vAlign w:val="center"/>
            <w:hideMark/>
          </w:tcPr>
          <w:p w14:paraId="4D75B25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Match</w:t>
            </w:r>
          </w:p>
        </w:tc>
        <w:tc>
          <w:tcPr>
            <w:tcW w:w="1420" w:type="dxa"/>
            <w:tcBorders>
              <w:top w:val="nil"/>
              <w:left w:val="nil"/>
              <w:bottom w:val="single" w:sz="4" w:space="0" w:color="auto"/>
              <w:right w:val="single" w:sz="4" w:space="0" w:color="auto"/>
            </w:tcBorders>
            <w:shd w:val="clear" w:color="auto" w:fill="auto"/>
            <w:vAlign w:val="center"/>
            <w:hideMark/>
          </w:tcPr>
          <w:p w14:paraId="3746DF03"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4A05485A"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22AD3EC"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Michigan Blind</w:t>
            </w:r>
          </w:p>
        </w:tc>
        <w:tc>
          <w:tcPr>
            <w:tcW w:w="5740" w:type="dxa"/>
            <w:tcBorders>
              <w:top w:val="nil"/>
              <w:left w:val="nil"/>
              <w:bottom w:val="single" w:sz="4" w:space="0" w:color="auto"/>
              <w:right w:val="single" w:sz="4" w:space="0" w:color="auto"/>
            </w:tcBorders>
            <w:shd w:val="clear" w:color="auto" w:fill="auto"/>
            <w:vAlign w:val="center"/>
            <w:hideMark/>
          </w:tcPr>
          <w:p w14:paraId="4010B6C9"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Program and performance and fiscal and resource QM on pre-ETS; expected levels of performance</w:t>
            </w:r>
          </w:p>
        </w:tc>
        <w:tc>
          <w:tcPr>
            <w:tcW w:w="1420" w:type="dxa"/>
            <w:tcBorders>
              <w:top w:val="nil"/>
              <w:left w:val="nil"/>
              <w:bottom w:val="single" w:sz="4" w:space="0" w:color="auto"/>
              <w:right w:val="single" w:sz="4" w:space="0" w:color="auto"/>
            </w:tcBorders>
            <w:shd w:val="clear" w:color="auto" w:fill="auto"/>
            <w:vAlign w:val="center"/>
            <w:hideMark/>
          </w:tcPr>
          <w:p w14:paraId="5C4123BF"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9</w:t>
            </w:r>
          </w:p>
        </w:tc>
      </w:tr>
      <w:tr w:rsidR="001D44A6" w:rsidRPr="001D44A6" w14:paraId="0F86E8DF"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7B58919"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Michigan General</w:t>
            </w:r>
          </w:p>
        </w:tc>
        <w:tc>
          <w:tcPr>
            <w:tcW w:w="5740" w:type="dxa"/>
            <w:tcBorders>
              <w:top w:val="nil"/>
              <w:left w:val="nil"/>
              <w:bottom w:val="single" w:sz="4" w:space="0" w:color="auto"/>
              <w:right w:val="single" w:sz="4" w:space="0" w:color="auto"/>
            </w:tcBorders>
            <w:shd w:val="clear" w:color="auto" w:fill="auto"/>
            <w:vAlign w:val="center"/>
            <w:hideMark/>
          </w:tcPr>
          <w:p w14:paraId="1A596D36"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staff performance evaluations; expected levels of performance</w:t>
            </w:r>
          </w:p>
        </w:tc>
        <w:tc>
          <w:tcPr>
            <w:tcW w:w="1420" w:type="dxa"/>
            <w:tcBorders>
              <w:top w:val="nil"/>
              <w:left w:val="nil"/>
              <w:bottom w:val="single" w:sz="4" w:space="0" w:color="auto"/>
              <w:right w:val="single" w:sz="4" w:space="0" w:color="auto"/>
            </w:tcBorders>
            <w:shd w:val="clear" w:color="auto" w:fill="auto"/>
            <w:vAlign w:val="center"/>
            <w:hideMark/>
          </w:tcPr>
          <w:p w14:paraId="73BF5E05"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4E4E6401"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5A05AA6"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Minnesota General</w:t>
            </w:r>
          </w:p>
        </w:tc>
        <w:tc>
          <w:tcPr>
            <w:tcW w:w="5740" w:type="dxa"/>
            <w:tcBorders>
              <w:top w:val="nil"/>
              <w:left w:val="nil"/>
              <w:bottom w:val="single" w:sz="4" w:space="0" w:color="auto"/>
              <w:right w:val="single" w:sz="4" w:space="0" w:color="auto"/>
            </w:tcBorders>
            <w:shd w:val="clear" w:color="auto" w:fill="auto"/>
            <w:vAlign w:val="center"/>
            <w:hideMark/>
          </w:tcPr>
          <w:p w14:paraId="33C26F84"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Pre-ETS fiscal</w:t>
            </w:r>
          </w:p>
        </w:tc>
        <w:tc>
          <w:tcPr>
            <w:tcW w:w="1420" w:type="dxa"/>
            <w:tcBorders>
              <w:top w:val="nil"/>
              <w:left w:val="nil"/>
              <w:bottom w:val="single" w:sz="4" w:space="0" w:color="auto"/>
              <w:right w:val="single" w:sz="4" w:space="0" w:color="auto"/>
            </w:tcBorders>
            <w:shd w:val="clear" w:color="auto" w:fill="auto"/>
            <w:vAlign w:val="center"/>
            <w:hideMark/>
          </w:tcPr>
          <w:p w14:paraId="453CF34B"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7F8C6ECE"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05F597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Mississippi Combined</w:t>
            </w:r>
          </w:p>
        </w:tc>
        <w:tc>
          <w:tcPr>
            <w:tcW w:w="5740" w:type="dxa"/>
            <w:tcBorders>
              <w:top w:val="nil"/>
              <w:left w:val="nil"/>
              <w:bottom w:val="single" w:sz="4" w:space="0" w:color="auto"/>
              <w:right w:val="single" w:sz="4" w:space="0" w:color="auto"/>
            </w:tcBorders>
            <w:shd w:val="clear" w:color="auto" w:fill="auto"/>
            <w:vAlign w:val="center"/>
            <w:hideMark/>
          </w:tcPr>
          <w:p w14:paraId="54F7578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Establishment projects; eligibility training; pre-ETS fiscal</w:t>
            </w:r>
          </w:p>
        </w:tc>
        <w:tc>
          <w:tcPr>
            <w:tcW w:w="1420" w:type="dxa"/>
            <w:tcBorders>
              <w:top w:val="nil"/>
              <w:left w:val="nil"/>
              <w:bottom w:val="single" w:sz="4" w:space="0" w:color="auto"/>
              <w:right w:val="single" w:sz="4" w:space="0" w:color="auto"/>
            </w:tcBorders>
            <w:shd w:val="clear" w:color="auto" w:fill="auto"/>
            <w:vAlign w:val="center"/>
            <w:hideMark/>
          </w:tcPr>
          <w:p w14:paraId="2FE5020D"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9</w:t>
            </w:r>
          </w:p>
        </w:tc>
      </w:tr>
      <w:tr w:rsidR="001D44A6" w:rsidRPr="001D44A6" w14:paraId="1F4DD42F"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983DCF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Missouri Blind</w:t>
            </w:r>
          </w:p>
        </w:tc>
        <w:tc>
          <w:tcPr>
            <w:tcW w:w="5740" w:type="dxa"/>
            <w:tcBorders>
              <w:top w:val="nil"/>
              <w:left w:val="nil"/>
              <w:bottom w:val="single" w:sz="4" w:space="0" w:color="auto"/>
              <w:right w:val="single" w:sz="4" w:space="0" w:color="auto"/>
            </w:tcBorders>
            <w:shd w:val="clear" w:color="auto" w:fill="auto"/>
            <w:vAlign w:val="center"/>
            <w:hideMark/>
          </w:tcPr>
          <w:p w14:paraId="62C164A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P&amp;P Internal controls </w:t>
            </w:r>
          </w:p>
        </w:tc>
        <w:tc>
          <w:tcPr>
            <w:tcW w:w="1420" w:type="dxa"/>
            <w:tcBorders>
              <w:top w:val="nil"/>
              <w:left w:val="nil"/>
              <w:bottom w:val="single" w:sz="4" w:space="0" w:color="auto"/>
              <w:right w:val="single" w:sz="4" w:space="0" w:color="auto"/>
            </w:tcBorders>
            <w:shd w:val="clear" w:color="auto" w:fill="auto"/>
            <w:vAlign w:val="center"/>
            <w:hideMark/>
          </w:tcPr>
          <w:p w14:paraId="303FEC02"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3F11173B"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7D1BF2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Missouri General</w:t>
            </w:r>
          </w:p>
        </w:tc>
        <w:tc>
          <w:tcPr>
            <w:tcW w:w="5740" w:type="dxa"/>
            <w:tcBorders>
              <w:top w:val="nil"/>
              <w:left w:val="nil"/>
              <w:bottom w:val="single" w:sz="4" w:space="0" w:color="auto"/>
              <w:right w:val="single" w:sz="4" w:space="0" w:color="auto"/>
            </w:tcBorders>
            <w:shd w:val="clear" w:color="auto" w:fill="auto"/>
            <w:vAlign w:val="center"/>
            <w:hideMark/>
          </w:tcPr>
          <w:p w14:paraId="14A012B8"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Rapid engagement</w:t>
            </w:r>
          </w:p>
        </w:tc>
        <w:tc>
          <w:tcPr>
            <w:tcW w:w="1420" w:type="dxa"/>
            <w:tcBorders>
              <w:top w:val="nil"/>
              <w:left w:val="nil"/>
              <w:bottom w:val="single" w:sz="4" w:space="0" w:color="auto"/>
              <w:right w:val="single" w:sz="4" w:space="0" w:color="auto"/>
            </w:tcBorders>
            <w:shd w:val="clear" w:color="auto" w:fill="auto"/>
            <w:vAlign w:val="center"/>
            <w:hideMark/>
          </w:tcPr>
          <w:p w14:paraId="5BFAC980"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62ED406E"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DB50336"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Montana Combined </w:t>
            </w:r>
          </w:p>
        </w:tc>
        <w:tc>
          <w:tcPr>
            <w:tcW w:w="5740" w:type="dxa"/>
            <w:tcBorders>
              <w:top w:val="nil"/>
              <w:left w:val="nil"/>
              <w:bottom w:val="single" w:sz="4" w:space="0" w:color="auto"/>
              <w:right w:val="single" w:sz="4" w:space="0" w:color="auto"/>
            </w:tcBorders>
            <w:shd w:val="clear" w:color="auto" w:fill="auto"/>
            <w:vAlign w:val="center"/>
            <w:hideMark/>
          </w:tcPr>
          <w:p w14:paraId="7448DAB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Community partnerships and MOUs</w:t>
            </w:r>
          </w:p>
        </w:tc>
        <w:tc>
          <w:tcPr>
            <w:tcW w:w="1420" w:type="dxa"/>
            <w:tcBorders>
              <w:top w:val="nil"/>
              <w:left w:val="nil"/>
              <w:bottom w:val="single" w:sz="4" w:space="0" w:color="auto"/>
              <w:right w:val="single" w:sz="4" w:space="0" w:color="auto"/>
            </w:tcBorders>
            <w:shd w:val="clear" w:color="auto" w:fill="auto"/>
            <w:vAlign w:val="center"/>
            <w:hideMark/>
          </w:tcPr>
          <w:p w14:paraId="29FCD111"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372B0D74" w14:textId="77777777" w:rsidTr="001D44A6">
        <w:trPr>
          <w:trHeight w:val="93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2CDB23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Multiple States</w:t>
            </w:r>
          </w:p>
        </w:tc>
        <w:tc>
          <w:tcPr>
            <w:tcW w:w="5740" w:type="dxa"/>
            <w:tcBorders>
              <w:top w:val="nil"/>
              <w:left w:val="nil"/>
              <w:bottom w:val="single" w:sz="4" w:space="0" w:color="auto"/>
              <w:right w:val="single" w:sz="4" w:space="0" w:color="auto"/>
            </w:tcBorders>
            <w:shd w:val="clear" w:color="auto" w:fill="auto"/>
            <w:vAlign w:val="center"/>
            <w:hideMark/>
          </w:tcPr>
          <w:p w14:paraId="683A1A21"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Monitoring </w:t>
            </w:r>
            <w:proofErr w:type="gramStart"/>
            <w:r w:rsidRPr="001D44A6">
              <w:rPr>
                <w:rFonts w:eastAsia="Times New Roman"/>
                <w:color w:val="000000"/>
              </w:rPr>
              <w:t>CoP;</w:t>
            </w:r>
            <w:proofErr w:type="gramEnd"/>
            <w:r w:rsidRPr="001D44A6">
              <w:rPr>
                <w:rFonts w:eastAsia="Times New Roman"/>
                <w:color w:val="000000"/>
              </w:rPr>
              <w:t xml:space="preserve"> financial management of the VR program presented to NRLI (ELSS); grant management and period of performance</w:t>
            </w:r>
          </w:p>
        </w:tc>
        <w:tc>
          <w:tcPr>
            <w:tcW w:w="1420" w:type="dxa"/>
            <w:tcBorders>
              <w:top w:val="nil"/>
              <w:left w:val="nil"/>
              <w:bottom w:val="single" w:sz="4" w:space="0" w:color="auto"/>
              <w:right w:val="single" w:sz="4" w:space="0" w:color="auto"/>
            </w:tcBorders>
            <w:shd w:val="clear" w:color="auto" w:fill="auto"/>
            <w:vAlign w:val="center"/>
            <w:hideMark/>
          </w:tcPr>
          <w:p w14:paraId="18094865"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92</w:t>
            </w:r>
          </w:p>
        </w:tc>
      </w:tr>
      <w:tr w:rsidR="001D44A6" w:rsidRPr="001D44A6" w14:paraId="21BCBC15"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9AFEEE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Nebraska Blind</w:t>
            </w:r>
          </w:p>
        </w:tc>
        <w:tc>
          <w:tcPr>
            <w:tcW w:w="5740" w:type="dxa"/>
            <w:tcBorders>
              <w:top w:val="nil"/>
              <w:left w:val="nil"/>
              <w:bottom w:val="single" w:sz="4" w:space="0" w:color="auto"/>
              <w:right w:val="single" w:sz="4" w:space="0" w:color="auto"/>
            </w:tcBorders>
            <w:shd w:val="clear" w:color="auto" w:fill="auto"/>
            <w:vAlign w:val="center"/>
            <w:hideMark/>
          </w:tcPr>
          <w:p w14:paraId="3D6D3D55"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Policies and procedure examples; contract review; period of performance</w:t>
            </w:r>
          </w:p>
        </w:tc>
        <w:tc>
          <w:tcPr>
            <w:tcW w:w="1420" w:type="dxa"/>
            <w:tcBorders>
              <w:top w:val="nil"/>
              <w:left w:val="nil"/>
              <w:bottom w:val="single" w:sz="4" w:space="0" w:color="auto"/>
              <w:right w:val="single" w:sz="4" w:space="0" w:color="auto"/>
            </w:tcBorders>
            <w:shd w:val="clear" w:color="auto" w:fill="auto"/>
            <w:vAlign w:val="center"/>
            <w:hideMark/>
          </w:tcPr>
          <w:p w14:paraId="22D6B3CE"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3</w:t>
            </w:r>
          </w:p>
        </w:tc>
      </w:tr>
      <w:tr w:rsidR="001D44A6" w:rsidRPr="001D44A6" w14:paraId="62830439" w14:textId="77777777" w:rsidTr="001D44A6">
        <w:trPr>
          <w:trHeight w:val="124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08827B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Nevada Combined</w:t>
            </w:r>
          </w:p>
        </w:tc>
        <w:tc>
          <w:tcPr>
            <w:tcW w:w="5740" w:type="dxa"/>
            <w:tcBorders>
              <w:top w:val="nil"/>
              <w:left w:val="nil"/>
              <w:bottom w:val="single" w:sz="4" w:space="0" w:color="auto"/>
              <w:right w:val="single" w:sz="4" w:space="0" w:color="auto"/>
            </w:tcBorders>
            <w:shd w:val="clear" w:color="auto" w:fill="auto"/>
            <w:vAlign w:val="center"/>
            <w:hideMark/>
          </w:tcPr>
          <w:p w14:paraId="6268E9F4"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Assisted in amending staff performance standards to include MSG and CA rates; CMS tracking and reporting of MSGs; fiscal reporting; CMS data collection; pre-ETS fiscal</w:t>
            </w:r>
          </w:p>
        </w:tc>
        <w:tc>
          <w:tcPr>
            <w:tcW w:w="1420" w:type="dxa"/>
            <w:tcBorders>
              <w:top w:val="nil"/>
              <w:left w:val="nil"/>
              <w:bottom w:val="single" w:sz="4" w:space="0" w:color="auto"/>
              <w:right w:val="single" w:sz="4" w:space="0" w:color="auto"/>
            </w:tcBorders>
            <w:shd w:val="clear" w:color="auto" w:fill="auto"/>
            <w:vAlign w:val="center"/>
            <w:hideMark/>
          </w:tcPr>
          <w:p w14:paraId="6DE4183E"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26</w:t>
            </w:r>
          </w:p>
        </w:tc>
      </w:tr>
      <w:tr w:rsidR="001D44A6" w:rsidRPr="001D44A6" w14:paraId="6F7F8221"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745E8B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New Jersey Blind</w:t>
            </w:r>
          </w:p>
        </w:tc>
        <w:tc>
          <w:tcPr>
            <w:tcW w:w="5740" w:type="dxa"/>
            <w:tcBorders>
              <w:top w:val="nil"/>
              <w:left w:val="nil"/>
              <w:bottom w:val="single" w:sz="4" w:space="0" w:color="auto"/>
              <w:right w:val="single" w:sz="4" w:space="0" w:color="auto"/>
            </w:tcBorders>
            <w:shd w:val="clear" w:color="auto" w:fill="auto"/>
            <w:vAlign w:val="center"/>
            <w:hideMark/>
          </w:tcPr>
          <w:p w14:paraId="2FFE2899"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Data analytics</w:t>
            </w:r>
          </w:p>
        </w:tc>
        <w:tc>
          <w:tcPr>
            <w:tcW w:w="1420" w:type="dxa"/>
            <w:tcBorders>
              <w:top w:val="nil"/>
              <w:left w:val="nil"/>
              <w:bottom w:val="single" w:sz="4" w:space="0" w:color="auto"/>
              <w:right w:val="single" w:sz="4" w:space="0" w:color="auto"/>
            </w:tcBorders>
            <w:shd w:val="clear" w:color="auto" w:fill="auto"/>
            <w:vAlign w:val="center"/>
            <w:hideMark/>
          </w:tcPr>
          <w:p w14:paraId="4468472E"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05FE762D" w14:textId="77777777" w:rsidTr="001D44A6">
        <w:trPr>
          <w:trHeight w:val="124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9B024B4"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New Jersey General</w:t>
            </w:r>
          </w:p>
        </w:tc>
        <w:tc>
          <w:tcPr>
            <w:tcW w:w="5740" w:type="dxa"/>
            <w:tcBorders>
              <w:top w:val="nil"/>
              <w:left w:val="nil"/>
              <w:bottom w:val="single" w:sz="4" w:space="0" w:color="auto"/>
              <w:right w:val="single" w:sz="4" w:space="0" w:color="auto"/>
            </w:tcBorders>
            <w:shd w:val="clear" w:color="auto" w:fill="auto"/>
            <w:vAlign w:val="center"/>
            <w:hideMark/>
          </w:tcPr>
          <w:p w14:paraId="457CB27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Data analytics, internal </w:t>
            </w:r>
            <w:proofErr w:type="gramStart"/>
            <w:r w:rsidRPr="001D44A6">
              <w:rPr>
                <w:rFonts w:eastAsia="Times New Roman"/>
                <w:color w:val="000000"/>
              </w:rPr>
              <w:t>controls</w:t>
            </w:r>
            <w:proofErr w:type="gramEnd"/>
            <w:r w:rsidRPr="001D44A6">
              <w:rPr>
                <w:rFonts w:eastAsia="Times New Roman"/>
                <w:color w:val="000000"/>
              </w:rPr>
              <w:t xml:space="preserve"> and reporting; program improvement; staff performance standards; contracts review; CAP review; SE grant funding; CMS data collection and reporting; post-exit reporting</w:t>
            </w:r>
          </w:p>
        </w:tc>
        <w:tc>
          <w:tcPr>
            <w:tcW w:w="1420" w:type="dxa"/>
            <w:tcBorders>
              <w:top w:val="nil"/>
              <w:left w:val="nil"/>
              <w:bottom w:val="single" w:sz="4" w:space="0" w:color="auto"/>
              <w:right w:val="single" w:sz="4" w:space="0" w:color="auto"/>
            </w:tcBorders>
            <w:shd w:val="clear" w:color="auto" w:fill="auto"/>
            <w:vAlign w:val="center"/>
            <w:hideMark/>
          </w:tcPr>
          <w:p w14:paraId="5BD7EF26"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52</w:t>
            </w:r>
          </w:p>
        </w:tc>
      </w:tr>
      <w:tr w:rsidR="001D44A6" w:rsidRPr="001D44A6" w14:paraId="1D7C206C"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E08490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New Mexico General</w:t>
            </w:r>
          </w:p>
        </w:tc>
        <w:tc>
          <w:tcPr>
            <w:tcW w:w="5740" w:type="dxa"/>
            <w:tcBorders>
              <w:top w:val="nil"/>
              <w:left w:val="nil"/>
              <w:bottom w:val="single" w:sz="4" w:space="0" w:color="auto"/>
              <w:right w:val="single" w:sz="4" w:space="0" w:color="auto"/>
            </w:tcBorders>
            <w:shd w:val="clear" w:color="auto" w:fill="auto"/>
            <w:vAlign w:val="center"/>
            <w:hideMark/>
          </w:tcPr>
          <w:p w14:paraId="6EE58F17"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CAP review and response; CMS data collection; </w:t>
            </w:r>
          </w:p>
        </w:tc>
        <w:tc>
          <w:tcPr>
            <w:tcW w:w="1420" w:type="dxa"/>
            <w:tcBorders>
              <w:top w:val="nil"/>
              <w:left w:val="nil"/>
              <w:bottom w:val="single" w:sz="4" w:space="0" w:color="auto"/>
              <w:right w:val="single" w:sz="4" w:space="0" w:color="auto"/>
            </w:tcBorders>
            <w:shd w:val="clear" w:color="auto" w:fill="auto"/>
            <w:vAlign w:val="center"/>
            <w:hideMark/>
          </w:tcPr>
          <w:p w14:paraId="77AF5C7D"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7</w:t>
            </w:r>
          </w:p>
        </w:tc>
      </w:tr>
      <w:tr w:rsidR="001D44A6" w:rsidRPr="001D44A6" w14:paraId="27BC5DA8"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DF4903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New York General</w:t>
            </w:r>
          </w:p>
        </w:tc>
        <w:tc>
          <w:tcPr>
            <w:tcW w:w="5740" w:type="dxa"/>
            <w:tcBorders>
              <w:top w:val="nil"/>
              <w:left w:val="nil"/>
              <w:bottom w:val="single" w:sz="4" w:space="0" w:color="auto"/>
              <w:right w:val="single" w:sz="4" w:space="0" w:color="auto"/>
            </w:tcBorders>
            <w:shd w:val="clear" w:color="auto" w:fill="auto"/>
            <w:vAlign w:val="center"/>
            <w:hideMark/>
          </w:tcPr>
          <w:p w14:paraId="6A4CBA8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Unused funds;</w:t>
            </w:r>
          </w:p>
        </w:tc>
        <w:tc>
          <w:tcPr>
            <w:tcW w:w="1420" w:type="dxa"/>
            <w:tcBorders>
              <w:top w:val="nil"/>
              <w:left w:val="nil"/>
              <w:bottom w:val="single" w:sz="4" w:space="0" w:color="auto"/>
              <w:right w:val="single" w:sz="4" w:space="0" w:color="auto"/>
            </w:tcBorders>
            <w:shd w:val="clear" w:color="auto" w:fill="auto"/>
            <w:vAlign w:val="center"/>
            <w:hideMark/>
          </w:tcPr>
          <w:p w14:paraId="1C9C0018"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4</w:t>
            </w:r>
          </w:p>
        </w:tc>
      </w:tr>
      <w:tr w:rsidR="001D44A6" w:rsidRPr="001D44A6" w14:paraId="2B5AB4E2"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061ADB5"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North Carolina Blind</w:t>
            </w:r>
          </w:p>
        </w:tc>
        <w:tc>
          <w:tcPr>
            <w:tcW w:w="5740" w:type="dxa"/>
            <w:tcBorders>
              <w:top w:val="nil"/>
              <w:left w:val="nil"/>
              <w:bottom w:val="single" w:sz="4" w:space="0" w:color="auto"/>
              <w:right w:val="single" w:sz="4" w:space="0" w:color="auto"/>
            </w:tcBorders>
            <w:shd w:val="clear" w:color="auto" w:fill="auto"/>
            <w:vAlign w:val="center"/>
            <w:hideMark/>
          </w:tcPr>
          <w:p w14:paraId="3E51AAA8"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Internal controls and WIOA performance</w:t>
            </w:r>
          </w:p>
        </w:tc>
        <w:tc>
          <w:tcPr>
            <w:tcW w:w="1420" w:type="dxa"/>
            <w:tcBorders>
              <w:top w:val="nil"/>
              <w:left w:val="nil"/>
              <w:bottom w:val="single" w:sz="4" w:space="0" w:color="auto"/>
              <w:right w:val="single" w:sz="4" w:space="0" w:color="auto"/>
            </w:tcBorders>
            <w:shd w:val="clear" w:color="auto" w:fill="auto"/>
            <w:vAlign w:val="center"/>
            <w:hideMark/>
          </w:tcPr>
          <w:p w14:paraId="5E0CC7D2"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7C518D9C"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1DA03A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North Carolina General</w:t>
            </w:r>
          </w:p>
        </w:tc>
        <w:tc>
          <w:tcPr>
            <w:tcW w:w="5740" w:type="dxa"/>
            <w:tcBorders>
              <w:top w:val="nil"/>
              <w:left w:val="nil"/>
              <w:bottom w:val="single" w:sz="4" w:space="0" w:color="auto"/>
              <w:right w:val="single" w:sz="4" w:space="0" w:color="auto"/>
            </w:tcBorders>
            <w:shd w:val="clear" w:color="auto" w:fill="auto"/>
            <w:vAlign w:val="center"/>
            <w:hideMark/>
          </w:tcPr>
          <w:p w14:paraId="33CB6820"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Unused funds TA</w:t>
            </w:r>
          </w:p>
        </w:tc>
        <w:tc>
          <w:tcPr>
            <w:tcW w:w="1420" w:type="dxa"/>
            <w:tcBorders>
              <w:top w:val="nil"/>
              <w:left w:val="nil"/>
              <w:bottom w:val="single" w:sz="4" w:space="0" w:color="auto"/>
              <w:right w:val="single" w:sz="4" w:space="0" w:color="auto"/>
            </w:tcBorders>
            <w:shd w:val="clear" w:color="auto" w:fill="auto"/>
            <w:vAlign w:val="center"/>
            <w:hideMark/>
          </w:tcPr>
          <w:p w14:paraId="1D666586"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5</w:t>
            </w:r>
          </w:p>
        </w:tc>
      </w:tr>
      <w:tr w:rsidR="001D44A6" w:rsidRPr="001D44A6" w14:paraId="5F6365FB" w14:textId="77777777" w:rsidTr="001D44A6">
        <w:trPr>
          <w:trHeight w:val="93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FB281E5"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lastRenderedPageBreak/>
              <w:t>Oregon General</w:t>
            </w:r>
          </w:p>
        </w:tc>
        <w:tc>
          <w:tcPr>
            <w:tcW w:w="5740" w:type="dxa"/>
            <w:tcBorders>
              <w:top w:val="nil"/>
              <w:left w:val="nil"/>
              <w:bottom w:val="single" w:sz="4" w:space="0" w:color="auto"/>
              <w:right w:val="single" w:sz="4" w:space="0" w:color="auto"/>
            </w:tcBorders>
            <w:shd w:val="clear" w:color="auto" w:fill="auto"/>
            <w:vAlign w:val="center"/>
            <w:hideMark/>
          </w:tcPr>
          <w:p w14:paraId="5E2E2181"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Contract review; RSA monitoring; pre-ETS fiscal and reporting; indirect and cost allocation; sources of match; fiscal strategy</w:t>
            </w:r>
          </w:p>
        </w:tc>
        <w:tc>
          <w:tcPr>
            <w:tcW w:w="1420" w:type="dxa"/>
            <w:tcBorders>
              <w:top w:val="nil"/>
              <w:left w:val="nil"/>
              <w:bottom w:val="single" w:sz="4" w:space="0" w:color="auto"/>
              <w:right w:val="single" w:sz="4" w:space="0" w:color="auto"/>
            </w:tcBorders>
            <w:shd w:val="clear" w:color="auto" w:fill="auto"/>
            <w:vAlign w:val="center"/>
            <w:hideMark/>
          </w:tcPr>
          <w:p w14:paraId="2AC8409C"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44</w:t>
            </w:r>
          </w:p>
        </w:tc>
      </w:tr>
      <w:tr w:rsidR="001D44A6" w:rsidRPr="001D44A6" w14:paraId="488F9C8C" w14:textId="77777777" w:rsidTr="001D44A6">
        <w:trPr>
          <w:trHeight w:val="124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34C28B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Oregon Blind</w:t>
            </w:r>
          </w:p>
        </w:tc>
        <w:tc>
          <w:tcPr>
            <w:tcW w:w="5740" w:type="dxa"/>
            <w:tcBorders>
              <w:top w:val="nil"/>
              <w:left w:val="nil"/>
              <w:bottom w:val="single" w:sz="4" w:space="0" w:color="auto"/>
              <w:right w:val="single" w:sz="4" w:space="0" w:color="auto"/>
            </w:tcBorders>
            <w:shd w:val="clear" w:color="auto" w:fill="auto"/>
            <w:vAlign w:val="center"/>
            <w:hideMark/>
          </w:tcPr>
          <w:p w14:paraId="1BC21EB1" w14:textId="753297A3" w:rsidR="001D44A6" w:rsidRPr="001D44A6" w:rsidRDefault="001D44A6" w:rsidP="001D44A6">
            <w:pPr>
              <w:spacing w:after="0" w:line="240" w:lineRule="auto"/>
              <w:rPr>
                <w:rFonts w:eastAsia="Times New Roman"/>
                <w:color w:val="000000"/>
              </w:rPr>
            </w:pPr>
            <w:r w:rsidRPr="001D44A6">
              <w:rPr>
                <w:rFonts w:eastAsia="Times New Roman"/>
                <w:color w:val="000000"/>
              </w:rPr>
              <w:t>Fiscal internal controls; fiscal reporting; assignment of obligations; training on period of performance; policy and procedure review; Use of CMS for fiscal management; SE policy and procedure</w:t>
            </w:r>
          </w:p>
        </w:tc>
        <w:tc>
          <w:tcPr>
            <w:tcW w:w="1420" w:type="dxa"/>
            <w:tcBorders>
              <w:top w:val="nil"/>
              <w:left w:val="nil"/>
              <w:bottom w:val="single" w:sz="4" w:space="0" w:color="auto"/>
              <w:right w:val="single" w:sz="4" w:space="0" w:color="auto"/>
            </w:tcBorders>
            <w:shd w:val="clear" w:color="auto" w:fill="auto"/>
            <w:vAlign w:val="center"/>
            <w:hideMark/>
          </w:tcPr>
          <w:p w14:paraId="0120209B"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76</w:t>
            </w:r>
          </w:p>
        </w:tc>
      </w:tr>
      <w:tr w:rsidR="001D44A6" w:rsidRPr="001D44A6" w14:paraId="170DF3C3"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8757037"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Pennsylvania Combined </w:t>
            </w:r>
          </w:p>
        </w:tc>
        <w:tc>
          <w:tcPr>
            <w:tcW w:w="5740" w:type="dxa"/>
            <w:tcBorders>
              <w:top w:val="nil"/>
              <w:left w:val="nil"/>
              <w:bottom w:val="single" w:sz="4" w:space="0" w:color="auto"/>
              <w:right w:val="single" w:sz="4" w:space="0" w:color="auto"/>
            </w:tcBorders>
            <w:shd w:val="clear" w:color="auto" w:fill="auto"/>
            <w:vAlign w:val="center"/>
            <w:hideMark/>
          </w:tcPr>
          <w:p w14:paraId="5C5ECC9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Recruitment and retention unrelated to their ITAA; CMS data collection; internal controls</w:t>
            </w:r>
          </w:p>
        </w:tc>
        <w:tc>
          <w:tcPr>
            <w:tcW w:w="1420" w:type="dxa"/>
            <w:tcBorders>
              <w:top w:val="nil"/>
              <w:left w:val="nil"/>
              <w:bottom w:val="single" w:sz="4" w:space="0" w:color="auto"/>
              <w:right w:val="single" w:sz="4" w:space="0" w:color="auto"/>
            </w:tcBorders>
            <w:shd w:val="clear" w:color="auto" w:fill="auto"/>
            <w:vAlign w:val="center"/>
            <w:hideMark/>
          </w:tcPr>
          <w:p w14:paraId="3BDC8CAF"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12</w:t>
            </w:r>
          </w:p>
        </w:tc>
      </w:tr>
      <w:tr w:rsidR="001D44A6" w:rsidRPr="001D44A6" w14:paraId="20B935A4"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D4D3FAF"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Puerto Rico Combined</w:t>
            </w:r>
          </w:p>
        </w:tc>
        <w:tc>
          <w:tcPr>
            <w:tcW w:w="5740" w:type="dxa"/>
            <w:tcBorders>
              <w:top w:val="nil"/>
              <w:left w:val="nil"/>
              <w:bottom w:val="single" w:sz="4" w:space="0" w:color="auto"/>
              <w:right w:val="single" w:sz="4" w:space="0" w:color="auto"/>
            </w:tcBorders>
            <w:shd w:val="clear" w:color="auto" w:fill="auto"/>
            <w:vAlign w:val="center"/>
            <w:hideMark/>
          </w:tcPr>
          <w:p w14:paraId="6790C6C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Reporting for the 911</w:t>
            </w:r>
          </w:p>
        </w:tc>
        <w:tc>
          <w:tcPr>
            <w:tcW w:w="1420" w:type="dxa"/>
            <w:tcBorders>
              <w:top w:val="nil"/>
              <w:left w:val="nil"/>
              <w:bottom w:val="single" w:sz="4" w:space="0" w:color="auto"/>
              <w:right w:val="single" w:sz="4" w:space="0" w:color="auto"/>
            </w:tcBorders>
            <w:shd w:val="clear" w:color="auto" w:fill="auto"/>
            <w:vAlign w:val="center"/>
            <w:hideMark/>
          </w:tcPr>
          <w:p w14:paraId="3825E46F"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46B8B64F" w14:textId="77777777" w:rsidTr="001D44A6">
        <w:trPr>
          <w:trHeight w:val="93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C4B9AB5"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South Carolina General</w:t>
            </w:r>
          </w:p>
        </w:tc>
        <w:tc>
          <w:tcPr>
            <w:tcW w:w="5740" w:type="dxa"/>
            <w:tcBorders>
              <w:top w:val="nil"/>
              <w:left w:val="nil"/>
              <w:bottom w:val="single" w:sz="4" w:space="0" w:color="auto"/>
              <w:right w:val="single" w:sz="4" w:space="0" w:color="auto"/>
            </w:tcBorders>
            <w:shd w:val="clear" w:color="auto" w:fill="auto"/>
            <w:vAlign w:val="center"/>
            <w:hideMark/>
          </w:tcPr>
          <w:p w14:paraId="7B7B128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P&amp;P review; community partnerships; internal controls; State plan; expedited eligibility rate setting; policy and procedure review</w:t>
            </w:r>
          </w:p>
        </w:tc>
        <w:tc>
          <w:tcPr>
            <w:tcW w:w="1420" w:type="dxa"/>
            <w:tcBorders>
              <w:top w:val="nil"/>
              <w:left w:val="nil"/>
              <w:bottom w:val="single" w:sz="4" w:space="0" w:color="auto"/>
              <w:right w:val="single" w:sz="4" w:space="0" w:color="auto"/>
            </w:tcBorders>
            <w:shd w:val="clear" w:color="auto" w:fill="auto"/>
            <w:vAlign w:val="center"/>
            <w:hideMark/>
          </w:tcPr>
          <w:p w14:paraId="3B83B4B7"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47</w:t>
            </w:r>
          </w:p>
        </w:tc>
      </w:tr>
      <w:tr w:rsidR="001D44A6" w:rsidRPr="001D44A6" w14:paraId="7164F4AE"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736C8C5"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Tennessee Combined</w:t>
            </w:r>
          </w:p>
        </w:tc>
        <w:tc>
          <w:tcPr>
            <w:tcW w:w="5740" w:type="dxa"/>
            <w:tcBorders>
              <w:top w:val="nil"/>
              <w:left w:val="nil"/>
              <w:bottom w:val="single" w:sz="4" w:space="0" w:color="auto"/>
              <w:right w:val="single" w:sz="4" w:space="0" w:color="auto"/>
            </w:tcBorders>
            <w:shd w:val="clear" w:color="auto" w:fill="auto"/>
            <w:vAlign w:val="center"/>
            <w:hideMark/>
          </w:tcPr>
          <w:p w14:paraId="4BC0FFC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Program and performance; OOS planning; fiscal QM;</w:t>
            </w:r>
          </w:p>
        </w:tc>
        <w:tc>
          <w:tcPr>
            <w:tcW w:w="1420" w:type="dxa"/>
            <w:tcBorders>
              <w:top w:val="nil"/>
              <w:left w:val="nil"/>
              <w:bottom w:val="single" w:sz="4" w:space="0" w:color="auto"/>
              <w:right w:val="single" w:sz="4" w:space="0" w:color="auto"/>
            </w:tcBorders>
            <w:shd w:val="clear" w:color="auto" w:fill="auto"/>
            <w:vAlign w:val="center"/>
            <w:hideMark/>
          </w:tcPr>
          <w:p w14:paraId="4620BFA5"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20</w:t>
            </w:r>
          </w:p>
        </w:tc>
      </w:tr>
      <w:tr w:rsidR="001D44A6" w:rsidRPr="001D44A6" w14:paraId="7301856D"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90BABF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 xml:space="preserve">Texas Combined </w:t>
            </w:r>
          </w:p>
        </w:tc>
        <w:tc>
          <w:tcPr>
            <w:tcW w:w="5740" w:type="dxa"/>
            <w:tcBorders>
              <w:top w:val="nil"/>
              <w:left w:val="nil"/>
              <w:bottom w:val="single" w:sz="4" w:space="0" w:color="auto"/>
              <w:right w:val="single" w:sz="4" w:space="0" w:color="auto"/>
            </w:tcBorders>
            <w:shd w:val="clear" w:color="auto" w:fill="auto"/>
            <w:vAlign w:val="center"/>
            <w:hideMark/>
          </w:tcPr>
          <w:p w14:paraId="5FD0631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Internal controls for the VR program; informed choice</w:t>
            </w:r>
          </w:p>
        </w:tc>
        <w:tc>
          <w:tcPr>
            <w:tcW w:w="1420" w:type="dxa"/>
            <w:tcBorders>
              <w:top w:val="nil"/>
              <w:left w:val="nil"/>
              <w:bottom w:val="single" w:sz="4" w:space="0" w:color="auto"/>
              <w:right w:val="single" w:sz="4" w:space="0" w:color="auto"/>
            </w:tcBorders>
            <w:shd w:val="clear" w:color="auto" w:fill="auto"/>
            <w:vAlign w:val="center"/>
            <w:hideMark/>
          </w:tcPr>
          <w:p w14:paraId="58774792"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3E4B1653"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C689B30"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Utah Combined</w:t>
            </w:r>
          </w:p>
        </w:tc>
        <w:tc>
          <w:tcPr>
            <w:tcW w:w="5740" w:type="dxa"/>
            <w:tcBorders>
              <w:top w:val="nil"/>
              <w:left w:val="nil"/>
              <w:bottom w:val="single" w:sz="4" w:space="0" w:color="auto"/>
              <w:right w:val="single" w:sz="4" w:space="0" w:color="auto"/>
            </w:tcBorders>
            <w:shd w:val="clear" w:color="auto" w:fill="auto"/>
            <w:vAlign w:val="center"/>
            <w:hideMark/>
          </w:tcPr>
          <w:p w14:paraId="74164C30"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Pre-ETS and reporting</w:t>
            </w:r>
          </w:p>
        </w:tc>
        <w:tc>
          <w:tcPr>
            <w:tcW w:w="1420" w:type="dxa"/>
            <w:tcBorders>
              <w:top w:val="nil"/>
              <w:left w:val="nil"/>
              <w:bottom w:val="single" w:sz="4" w:space="0" w:color="auto"/>
              <w:right w:val="single" w:sz="4" w:space="0" w:color="auto"/>
            </w:tcBorders>
            <w:shd w:val="clear" w:color="auto" w:fill="auto"/>
            <w:vAlign w:val="center"/>
            <w:hideMark/>
          </w:tcPr>
          <w:p w14:paraId="1675BFC8"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50431AE1"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1A4509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Virginia Blind</w:t>
            </w:r>
          </w:p>
        </w:tc>
        <w:tc>
          <w:tcPr>
            <w:tcW w:w="5740" w:type="dxa"/>
            <w:tcBorders>
              <w:top w:val="nil"/>
              <w:left w:val="nil"/>
              <w:bottom w:val="single" w:sz="4" w:space="0" w:color="auto"/>
              <w:right w:val="single" w:sz="4" w:space="0" w:color="auto"/>
            </w:tcBorders>
            <w:shd w:val="clear" w:color="auto" w:fill="auto"/>
            <w:vAlign w:val="center"/>
            <w:hideMark/>
          </w:tcPr>
          <w:p w14:paraId="77B53E12"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SARA</w:t>
            </w:r>
          </w:p>
        </w:tc>
        <w:tc>
          <w:tcPr>
            <w:tcW w:w="1420" w:type="dxa"/>
            <w:tcBorders>
              <w:top w:val="nil"/>
              <w:left w:val="nil"/>
              <w:bottom w:val="single" w:sz="4" w:space="0" w:color="auto"/>
              <w:right w:val="single" w:sz="4" w:space="0" w:color="auto"/>
            </w:tcBorders>
            <w:shd w:val="clear" w:color="auto" w:fill="auto"/>
            <w:vAlign w:val="center"/>
            <w:hideMark/>
          </w:tcPr>
          <w:p w14:paraId="7F1B2ABA"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76F87599"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96B069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Virginia General</w:t>
            </w:r>
          </w:p>
        </w:tc>
        <w:tc>
          <w:tcPr>
            <w:tcW w:w="5740" w:type="dxa"/>
            <w:tcBorders>
              <w:top w:val="nil"/>
              <w:left w:val="nil"/>
              <w:bottom w:val="single" w:sz="4" w:space="0" w:color="auto"/>
              <w:right w:val="single" w:sz="4" w:space="0" w:color="auto"/>
            </w:tcBorders>
            <w:shd w:val="clear" w:color="auto" w:fill="auto"/>
            <w:vAlign w:val="center"/>
            <w:hideMark/>
          </w:tcPr>
          <w:p w14:paraId="59E81143"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CMS data collection and pre-ETS reporting; internal controls</w:t>
            </w:r>
          </w:p>
        </w:tc>
        <w:tc>
          <w:tcPr>
            <w:tcW w:w="1420" w:type="dxa"/>
            <w:tcBorders>
              <w:top w:val="nil"/>
              <w:left w:val="nil"/>
              <w:bottom w:val="single" w:sz="4" w:space="0" w:color="auto"/>
              <w:right w:val="single" w:sz="4" w:space="0" w:color="auto"/>
            </w:tcBorders>
            <w:shd w:val="clear" w:color="auto" w:fill="auto"/>
            <w:vAlign w:val="center"/>
            <w:hideMark/>
          </w:tcPr>
          <w:p w14:paraId="36EB2BB4"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7</w:t>
            </w:r>
          </w:p>
        </w:tc>
      </w:tr>
      <w:tr w:rsidR="001D44A6" w:rsidRPr="001D44A6" w14:paraId="3C8B9383"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4C46D49"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Washington Blind</w:t>
            </w:r>
          </w:p>
        </w:tc>
        <w:tc>
          <w:tcPr>
            <w:tcW w:w="5740" w:type="dxa"/>
            <w:tcBorders>
              <w:top w:val="nil"/>
              <w:left w:val="nil"/>
              <w:bottom w:val="single" w:sz="4" w:space="0" w:color="auto"/>
              <w:right w:val="single" w:sz="4" w:space="0" w:color="auto"/>
            </w:tcBorders>
            <w:shd w:val="clear" w:color="auto" w:fill="auto"/>
            <w:vAlign w:val="center"/>
            <w:hideMark/>
          </w:tcPr>
          <w:p w14:paraId="6EA1695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Internal controls related to program and performance; reporting</w:t>
            </w:r>
          </w:p>
        </w:tc>
        <w:tc>
          <w:tcPr>
            <w:tcW w:w="1420" w:type="dxa"/>
            <w:tcBorders>
              <w:top w:val="nil"/>
              <w:left w:val="nil"/>
              <w:bottom w:val="single" w:sz="4" w:space="0" w:color="auto"/>
              <w:right w:val="single" w:sz="4" w:space="0" w:color="auto"/>
            </w:tcBorders>
            <w:shd w:val="clear" w:color="auto" w:fill="auto"/>
            <w:vAlign w:val="center"/>
            <w:hideMark/>
          </w:tcPr>
          <w:p w14:paraId="415387BF"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w:t>
            </w:r>
          </w:p>
        </w:tc>
      </w:tr>
      <w:tr w:rsidR="001D44A6" w:rsidRPr="001D44A6" w14:paraId="0CDA3754"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1A6DC5C"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Washington General</w:t>
            </w:r>
          </w:p>
        </w:tc>
        <w:tc>
          <w:tcPr>
            <w:tcW w:w="5740" w:type="dxa"/>
            <w:tcBorders>
              <w:top w:val="nil"/>
              <w:left w:val="nil"/>
              <w:bottom w:val="single" w:sz="4" w:space="0" w:color="auto"/>
              <w:right w:val="single" w:sz="4" w:space="0" w:color="auto"/>
            </w:tcBorders>
            <w:shd w:val="clear" w:color="auto" w:fill="auto"/>
            <w:vAlign w:val="center"/>
            <w:hideMark/>
          </w:tcPr>
          <w:p w14:paraId="0960921D"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Community partnerships</w:t>
            </w:r>
          </w:p>
        </w:tc>
        <w:tc>
          <w:tcPr>
            <w:tcW w:w="1420" w:type="dxa"/>
            <w:tcBorders>
              <w:top w:val="nil"/>
              <w:left w:val="nil"/>
              <w:bottom w:val="single" w:sz="4" w:space="0" w:color="auto"/>
              <w:right w:val="single" w:sz="4" w:space="0" w:color="auto"/>
            </w:tcBorders>
            <w:shd w:val="clear" w:color="auto" w:fill="auto"/>
            <w:vAlign w:val="center"/>
            <w:hideMark/>
          </w:tcPr>
          <w:p w14:paraId="58D20A19"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8716EA" w:rsidRPr="001D44A6" w14:paraId="41668448"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tcPr>
          <w:p w14:paraId="49111953" w14:textId="5EA64DC8" w:rsidR="008716EA" w:rsidRPr="001D44A6" w:rsidRDefault="008716EA" w:rsidP="001D44A6">
            <w:pPr>
              <w:spacing w:after="0" w:line="240" w:lineRule="auto"/>
              <w:rPr>
                <w:rFonts w:eastAsia="Times New Roman"/>
                <w:color w:val="000000"/>
              </w:rPr>
            </w:pPr>
            <w:r>
              <w:rPr>
                <w:rFonts w:eastAsia="Times New Roman"/>
                <w:color w:val="000000"/>
              </w:rPr>
              <w:t>West Virginia Comb.</w:t>
            </w:r>
          </w:p>
        </w:tc>
        <w:tc>
          <w:tcPr>
            <w:tcW w:w="5740" w:type="dxa"/>
            <w:tcBorders>
              <w:top w:val="nil"/>
              <w:left w:val="nil"/>
              <w:bottom w:val="single" w:sz="4" w:space="0" w:color="auto"/>
              <w:right w:val="single" w:sz="4" w:space="0" w:color="auto"/>
            </w:tcBorders>
            <w:shd w:val="clear" w:color="auto" w:fill="auto"/>
            <w:vAlign w:val="center"/>
          </w:tcPr>
          <w:p w14:paraId="30054FEF" w14:textId="3DF80F25" w:rsidR="008716EA" w:rsidRPr="001D44A6" w:rsidRDefault="008716EA" w:rsidP="001D44A6">
            <w:pPr>
              <w:spacing w:after="0" w:line="240" w:lineRule="auto"/>
              <w:rPr>
                <w:rFonts w:eastAsia="Times New Roman"/>
                <w:color w:val="000000"/>
              </w:rPr>
            </w:pPr>
            <w:r>
              <w:rPr>
                <w:rFonts w:eastAsia="Times New Roman"/>
                <w:color w:val="000000"/>
              </w:rPr>
              <w:t>NRLI</w:t>
            </w:r>
          </w:p>
        </w:tc>
        <w:tc>
          <w:tcPr>
            <w:tcW w:w="1420" w:type="dxa"/>
            <w:tcBorders>
              <w:top w:val="nil"/>
              <w:left w:val="nil"/>
              <w:bottom w:val="single" w:sz="4" w:space="0" w:color="auto"/>
              <w:right w:val="single" w:sz="4" w:space="0" w:color="auto"/>
            </w:tcBorders>
            <w:shd w:val="clear" w:color="auto" w:fill="auto"/>
            <w:vAlign w:val="center"/>
          </w:tcPr>
          <w:p w14:paraId="56D841F0" w14:textId="40C64AA6" w:rsidR="008716EA" w:rsidRPr="001D44A6" w:rsidRDefault="008716EA" w:rsidP="008716EA">
            <w:pPr>
              <w:spacing w:after="0" w:line="240" w:lineRule="auto"/>
              <w:jc w:val="right"/>
              <w:rPr>
                <w:rFonts w:eastAsia="Times New Roman"/>
                <w:color w:val="000000"/>
              </w:rPr>
            </w:pPr>
            <w:r>
              <w:rPr>
                <w:rFonts w:eastAsia="Times New Roman"/>
                <w:color w:val="000000"/>
              </w:rPr>
              <w:t>2</w:t>
            </w:r>
          </w:p>
        </w:tc>
      </w:tr>
      <w:tr w:rsidR="001D44A6" w:rsidRPr="001D44A6" w14:paraId="218AFBA9" w14:textId="77777777" w:rsidTr="001D44A6">
        <w:trPr>
          <w:trHeight w:val="31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A89479E"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Wisconsin Combined</w:t>
            </w:r>
          </w:p>
        </w:tc>
        <w:tc>
          <w:tcPr>
            <w:tcW w:w="5740" w:type="dxa"/>
            <w:tcBorders>
              <w:top w:val="nil"/>
              <w:left w:val="nil"/>
              <w:bottom w:val="single" w:sz="4" w:space="0" w:color="auto"/>
              <w:right w:val="single" w:sz="4" w:space="0" w:color="auto"/>
            </w:tcBorders>
            <w:shd w:val="clear" w:color="auto" w:fill="auto"/>
            <w:vAlign w:val="center"/>
            <w:hideMark/>
          </w:tcPr>
          <w:p w14:paraId="6F8D316B"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Internal controls and tracking and reporting</w:t>
            </w:r>
          </w:p>
        </w:tc>
        <w:tc>
          <w:tcPr>
            <w:tcW w:w="1420" w:type="dxa"/>
            <w:tcBorders>
              <w:top w:val="nil"/>
              <w:left w:val="nil"/>
              <w:bottom w:val="single" w:sz="4" w:space="0" w:color="auto"/>
              <w:right w:val="single" w:sz="4" w:space="0" w:color="auto"/>
            </w:tcBorders>
            <w:shd w:val="clear" w:color="auto" w:fill="auto"/>
            <w:vAlign w:val="center"/>
            <w:hideMark/>
          </w:tcPr>
          <w:p w14:paraId="16ADB87B"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1</w:t>
            </w:r>
          </w:p>
        </w:tc>
      </w:tr>
      <w:tr w:rsidR="001D44A6" w:rsidRPr="001D44A6" w14:paraId="23A4BC6C" w14:textId="77777777" w:rsidTr="001D44A6">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BE545FA"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Wyoming Combined</w:t>
            </w:r>
          </w:p>
        </w:tc>
        <w:tc>
          <w:tcPr>
            <w:tcW w:w="5740" w:type="dxa"/>
            <w:tcBorders>
              <w:top w:val="nil"/>
              <w:left w:val="nil"/>
              <w:bottom w:val="single" w:sz="4" w:space="0" w:color="auto"/>
              <w:right w:val="single" w:sz="4" w:space="0" w:color="auto"/>
            </w:tcBorders>
            <w:shd w:val="clear" w:color="auto" w:fill="auto"/>
            <w:vAlign w:val="center"/>
            <w:hideMark/>
          </w:tcPr>
          <w:p w14:paraId="55BA81E1" w14:textId="77777777" w:rsidR="001D44A6" w:rsidRPr="001D44A6" w:rsidRDefault="001D44A6" w:rsidP="001D44A6">
            <w:pPr>
              <w:spacing w:after="0" w:line="240" w:lineRule="auto"/>
              <w:rPr>
                <w:rFonts w:eastAsia="Times New Roman"/>
                <w:color w:val="000000"/>
              </w:rPr>
            </w:pPr>
            <w:r w:rsidRPr="001D44A6">
              <w:rPr>
                <w:rFonts w:eastAsia="Times New Roman"/>
                <w:color w:val="000000"/>
              </w:rPr>
              <w:t>Fiscal reporting; DSA and DSU fiscal prior to ITAA; assignment of obligations; RSA 17</w:t>
            </w:r>
          </w:p>
        </w:tc>
        <w:tc>
          <w:tcPr>
            <w:tcW w:w="1420" w:type="dxa"/>
            <w:tcBorders>
              <w:top w:val="nil"/>
              <w:left w:val="nil"/>
              <w:bottom w:val="single" w:sz="4" w:space="0" w:color="auto"/>
              <w:right w:val="single" w:sz="4" w:space="0" w:color="auto"/>
            </w:tcBorders>
            <w:shd w:val="clear" w:color="auto" w:fill="auto"/>
            <w:vAlign w:val="center"/>
            <w:hideMark/>
          </w:tcPr>
          <w:p w14:paraId="6F156A87" w14:textId="77777777" w:rsidR="001D44A6" w:rsidRPr="001D44A6" w:rsidRDefault="001D44A6" w:rsidP="001D44A6">
            <w:pPr>
              <w:spacing w:after="0" w:line="240" w:lineRule="auto"/>
              <w:jc w:val="right"/>
              <w:rPr>
                <w:rFonts w:eastAsia="Times New Roman"/>
                <w:color w:val="000000"/>
              </w:rPr>
            </w:pPr>
            <w:r w:rsidRPr="001D44A6">
              <w:rPr>
                <w:rFonts w:eastAsia="Times New Roman"/>
                <w:color w:val="000000"/>
              </w:rPr>
              <w:t>23</w:t>
            </w:r>
          </w:p>
        </w:tc>
      </w:tr>
      <w:tr w:rsidR="001D44A6" w:rsidRPr="001D44A6" w14:paraId="06E3B39B" w14:textId="77777777" w:rsidTr="001D44A6">
        <w:trPr>
          <w:trHeight w:val="920"/>
        </w:trPr>
        <w:tc>
          <w:tcPr>
            <w:tcW w:w="8320"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01DD4CFC" w14:textId="40174E16" w:rsidR="001D44A6" w:rsidRPr="001D44A6" w:rsidRDefault="001D44A6" w:rsidP="001D44A6">
            <w:pPr>
              <w:spacing w:after="0" w:line="240" w:lineRule="auto"/>
              <w:jc w:val="center"/>
              <w:rPr>
                <w:rFonts w:eastAsia="Times New Roman"/>
                <w:b/>
                <w:bCs/>
                <w:color w:val="000000"/>
              </w:rPr>
            </w:pPr>
            <w:r w:rsidRPr="001D44A6">
              <w:rPr>
                <w:rFonts w:eastAsia="Times New Roman"/>
                <w:b/>
                <w:bCs/>
                <w:color w:val="000000"/>
              </w:rPr>
              <w:t>Totals = 5</w:t>
            </w:r>
            <w:r w:rsidR="008716EA">
              <w:rPr>
                <w:rFonts w:eastAsia="Times New Roman"/>
                <w:b/>
                <w:bCs/>
                <w:color w:val="000000"/>
              </w:rPr>
              <w:t>1</w:t>
            </w:r>
            <w:r w:rsidRPr="001D44A6">
              <w:rPr>
                <w:rFonts w:eastAsia="Times New Roman"/>
                <w:b/>
                <w:bCs/>
                <w:color w:val="000000"/>
              </w:rPr>
              <w:t xml:space="preserve"> agencies (including multiple listings of multiple agencies); </w:t>
            </w:r>
            <w:r w:rsidRPr="001D44A6">
              <w:rPr>
                <w:rFonts w:eastAsia="Times New Roman"/>
                <w:b/>
                <w:bCs/>
                <w:color w:val="000000"/>
              </w:rPr>
              <w:br/>
              <w:t>122 targeted TA events (separated by semi-colon in list above including ten events in multiple listings)</w:t>
            </w:r>
          </w:p>
        </w:tc>
        <w:tc>
          <w:tcPr>
            <w:tcW w:w="1420" w:type="dxa"/>
            <w:tcBorders>
              <w:top w:val="nil"/>
              <w:left w:val="nil"/>
              <w:bottom w:val="single" w:sz="4" w:space="0" w:color="auto"/>
              <w:right w:val="single" w:sz="4" w:space="0" w:color="auto"/>
            </w:tcBorders>
            <w:shd w:val="clear" w:color="000000" w:fill="FCE4D6"/>
            <w:vAlign w:val="center"/>
            <w:hideMark/>
          </w:tcPr>
          <w:p w14:paraId="21DF198B" w14:textId="04DAE9F7" w:rsidR="001D44A6" w:rsidRPr="001D44A6" w:rsidRDefault="001D44A6" w:rsidP="001D44A6">
            <w:pPr>
              <w:spacing w:after="0" w:line="240" w:lineRule="auto"/>
              <w:jc w:val="center"/>
              <w:rPr>
                <w:rFonts w:eastAsia="Times New Roman"/>
                <w:b/>
                <w:bCs/>
                <w:color w:val="000000"/>
              </w:rPr>
            </w:pPr>
            <w:r w:rsidRPr="001D44A6">
              <w:rPr>
                <w:rFonts w:eastAsia="Times New Roman"/>
                <w:b/>
                <w:bCs/>
                <w:color w:val="000000"/>
              </w:rPr>
              <w:t>92</w:t>
            </w:r>
            <w:r w:rsidR="008716EA">
              <w:rPr>
                <w:rFonts w:eastAsia="Times New Roman"/>
                <w:b/>
                <w:bCs/>
                <w:color w:val="000000"/>
              </w:rPr>
              <w:t>9</w:t>
            </w:r>
          </w:p>
        </w:tc>
      </w:tr>
    </w:tbl>
    <w:p w14:paraId="7484859E" w14:textId="4B5BA51D" w:rsidR="003955F7" w:rsidRDefault="002C2CD0" w:rsidP="006039A1">
      <w:pPr>
        <w:pStyle w:val="Style1"/>
        <w:rPr>
          <w:b/>
          <w:sz w:val="28"/>
        </w:rPr>
      </w:pPr>
      <w:r>
        <w:t xml:space="preserve">A total of </w:t>
      </w:r>
      <w:r w:rsidR="001D44A6">
        <w:t>more than 5</w:t>
      </w:r>
      <w:r w:rsidR="008716EA">
        <w:t>1</w:t>
      </w:r>
      <w:r w:rsidR="003734A3">
        <w:t xml:space="preserve"> </w:t>
      </w:r>
      <w:r>
        <w:t xml:space="preserve">SVRAs requested some form of targeted TA during the </w:t>
      </w:r>
      <w:r w:rsidR="001D44A6">
        <w:t>second</w:t>
      </w:r>
      <w:r>
        <w:t xml:space="preserve"> quarter.  There were </w:t>
      </w:r>
      <w:r w:rsidR="001D44A6">
        <w:t>92</w:t>
      </w:r>
      <w:r w:rsidR="008716EA">
        <w:t>9</w:t>
      </w:r>
      <w:r>
        <w:t xml:space="preserve"> </w:t>
      </w:r>
      <w:r w:rsidR="001D44A6">
        <w:t xml:space="preserve">VR </w:t>
      </w:r>
      <w:r>
        <w:t>staff that received the TA directly</w:t>
      </w:r>
      <w:r w:rsidR="0059180E">
        <w:t>, though this is not an unduplicated count. Since the inception of the VRTAC-QM, we have provided at least targeted TA to 7</w:t>
      </w:r>
      <w:r w:rsidR="008716EA">
        <w:t>2</w:t>
      </w:r>
      <w:r w:rsidR="0059180E">
        <w:t xml:space="preserve"> of the 78 VR agencies (9</w:t>
      </w:r>
      <w:r w:rsidR="008716EA">
        <w:t>2</w:t>
      </w:r>
      <w:r w:rsidR="0059180E">
        <w:t xml:space="preserve">%). There </w:t>
      </w:r>
      <w:proofErr w:type="gramStart"/>
      <w:r w:rsidR="0059180E">
        <w:t>have</w:t>
      </w:r>
      <w:proofErr w:type="gramEnd"/>
      <w:r w:rsidR="0059180E">
        <w:t xml:space="preserve"> been </w:t>
      </w:r>
      <w:r w:rsidR="003427F8">
        <w:t>a total of 761 targeted TA events since the QM began and 4,26</w:t>
      </w:r>
      <w:r w:rsidR="008716EA">
        <w:t>2</w:t>
      </w:r>
      <w:r w:rsidR="003427F8">
        <w:t xml:space="preserve"> SVRA staff that have participated in these events (not an unduplicated count).</w:t>
      </w:r>
      <w:r w:rsidR="0059180E">
        <w:t xml:space="preserve"> </w:t>
      </w:r>
      <w:r w:rsidR="003955F7">
        <w:br w:type="page"/>
      </w:r>
    </w:p>
    <w:p w14:paraId="3787B400" w14:textId="1B750D1B" w:rsidR="00277D70" w:rsidRDefault="00277D70" w:rsidP="00277D70">
      <w:pPr>
        <w:pStyle w:val="Heading2"/>
      </w:pPr>
      <w:bookmarkStart w:id="10" w:name="_Toc102116136"/>
      <w:r>
        <w:lastRenderedPageBreak/>
        <w:t>Targeted TA of Note:</w:t>
      </w:r>
      <w:bookmarkEnd w:id="10"/>
    </w:p>
    <w:p w14:paraId="7F67D88B" w14:textId="77777777" w:rsidR="00895988" w:rsidRDefault="00895988" w:rsidP="00895988">
      <w:pPr>
        <w:spacing w:before="120"/>
      </w:pPr>
      <w:r>
        <w:t>In partnership with CIT-VR, we launched the recruitment and retention pilot that includes four agencies: Oklahoma Combined, Arkansas Blind, Connecticut Blind and Iowa General. A description of the pilot is included below:</w:t>
      </w:r>
    </w:p>
    <w:p w14:paraId="4DEB3E50" w14:textId="77777777" w:rsidR="00895988" w:rsidRPr="000929ED" w:rsidRDefault="00895988" w:rsidP="00895988">
      <w:pPr>
        <w:spacing w:before="120" w:after="120"/>
        <w:rPr>
          <w:b/>
          <w:bCs/>
        </w:rPr>
      </w:pPr>
      <w:r w:rsidRPr="000929ED">
        <w:rPr>
          <w:b/>
          <w:bCs/>
        </w:rPr>
        <w:t>Summary of Recruitment and Retention Pilot Project</w:t>
      </w:r>
    </w:p>
    <w:p w14:paraId="54C2599B" w14:textId="77777777" w:rsidR="00895988" w:rsidRPr="000929ED" w:rsidRDefault="00895988" w:rsidP="00895988">
      <w:pPr>
        <w:spacing w:before="120" w:after="120"/>
      </w:pPr>
      <w:r w:rsidRPr="000929ED">
        <w:t xml:space="preserve">In response to the current crisis in staff attrition and recruitment of new staff in many State VR agencies, the VR Technical Assistance Center for Quality Management (VRTAC-QM) launched a pilot project to assist up to 4 agencies in developing customized strategies to address these issues in their organizations. The four agencies that requested to be part of this pilot project are AR-B, CT-G, IA-G, and OK-C.  </w:t>
      </w:r>
    </w:p>
    <w:p w14:paraId="3EF46148" w14:textId="77777777" w:rsidR="00895988" w:rsidRPr="000929ED" w:rsidRDefault="00895988" w:rsidP="00895988">
      <w:pPr>
        <w:spacing w:before="120" w:after="120"/>
      </w:pPr>
      <w:r w:rsidRPr="000929ED">
        <w:t>The VRTAC-QM team for this project will provide technical assistance that will include:</w:t>
      </w:r>
    </w:p>
    <w:p w14:paraId="4044D60E" w14:textId="77777777" w:rsidR="00895988" w:rsidRPr="000929ED" w:rsidRDefault="00895988" w:rsidP="00615183">
      <w:pPr>
        <w:numPr>
          <w:ilvl w:val="0"/>
          <w:numId w:val="9"/>
        </w:numPr>
        <w:spacing w:before="120" w:after="120"/>
      </w:pPr>
      <w:r w:rsidRPr="000929ED">
        <w:t>Facilitation of an assessment process with the agency’s leadership team to identify specific factors within their organization and externally that are contributing to the attrition of staff and the related difficulties of recruiting new staff to fill vacancies</w:t>
      </w:r>
    </w:p>
    <w:p w14:paraId="2BD4BB31" w14:textId="77777777" w:rsidR="00895988" w:rsidRPr="000929ED" w:rsidRDefault="00895988" w:rsidP="00615183">
      <w:pPr>
        <w:numPr>
          <w:ilvl w:val="0"/>
          <w:numId w:val="9"/>
        </w:numPr>
        <w:spacing w:before="120" w:after="120"/>
      </w:pPr>
      <w:r w:rsidRPr="000929ED">
        <w:t>Based on the data obtained from this assessment, assist the leadership team in developing a multi-year work plan to address identified factors that contribute to this problem.</w:t>
      </w:r>
    </w:p>
    <w:p w14:paraId="1B1E140E" w14:textId="77777777" w:rsidR="00895988" w:rsidRPr="000929ED" w:rsidRDefault="00895988" w:rsidP="00615183">
      <w:pPr>
        <w:numPr>
          <w:ilvl w:val="0"/>
          <w:numId w:val="9"/>
        </w:numPr>
        <w:spacing w:before="120" w:after="120"/>
      </w:pPr>
      <w:r w:rsidRPr="000929ED">
        <w:t>Provide ongoing guidance and coaching to the work team in the agencies charged with implementing the work plan.</w:t>
      </w:r>
    </w:p>
    <w:p w14:paraId="6BF41AF9" w14:textId="77777777" w:rsidR="00895988" w:rsidRPr="000929ED" w:rsidRDefault="00895988" w:rsidP="00615183">
      <w:pPr>
        <w:numPr>
          <w:ilvl w:val="0"/>
          <w:numId w:val="9"/>
        </w:numPr>
        <w:spacing w:before="120" w:after="120"/>
      </w:pPr>
      <w:r w:rsidRPr="000929ED">
        <w:t xml:space="preserve">Development of evaluation protocols to measure progress of implementation of the work </w:t>
      </w:r>
      <w:proofErr w:type="gramStart"/>
      <w:r w:rsidRPr="000929ED">
        <w:t>plan, and</w:t>
      </w:r>
      <w:proofErr w:type="gramEnd"/>
      <w:r w:rsidRPr="000929ED">
        <w:t xml:space="preserve"> assist in modifying the plan based on additional data and feedback.</w:t>
      </w:r>
    </w:p>
    <w:p w14:paraId="0EBBC403" w14:textId="77777777" w:rsidR="00895988" w:rsidRPr="000929ED" w:rsidRDefault="00895988" w:rsidP="00615183">
      <w:pPr>
        <w:numPr>
          <w:ilvl w:val="0"/>
          <w:numId w:val="9"/>
        </w:numPr>
        <w:spacing w:before="120" w:after="120"/>
      </w:pPr>
      <w:r w:rsidRPr="000929ED">
        <w:t>Evaluating outcomes and assisting in developing strategies to sustain the change effort.</w:t>
      </w:r>
    </w:p>
    <w:p w14:paraId="545B5CD0" w14:textId="77777777" w:rsidR="00895988" w:rsidRPr="000929ED" w:rsidRDefault="00895988" w:rsidP="00895988">
      <w:pPr>
        <w:spacing w:before="120" w:after="120"/>
        <w:rPr>
          <w:u w:val="single"/>
        </w:rPr>
      </w:pPr>
      <w:r w:rsidRPr="000929ED">
        <w:rPr>
          <w:u w:val="single"/>
        </w:rPr>
        <w:t>Guided Assessment</w:t>
      </w:r>
    </w:p>
    <w:p w14:paraId="50047A78" w14:textId="77777777" w:rsidR="00895988" w:rsidRPr="000929ED" w:rsidRDefault="00895988" w:rsidP="00895988">
      <w:pPr>
        <w:spacing w:before="120" w:after="120"/>
      </w:pPr>
      <w:r w:rsidRPr="000929ED">
        <w:t xml:space="preserve">Guided assessment forms the basis of a process of discovery for organization leadership to identify factors that contribute to the problem of attrition and will assist agency leadership in developing solutions.  The review will encompass factors both internal and external to the VR agency.   The online sessions will be scheduled for a </w:t>
      </w:r>
      <w:proofErr w:type="gramStart"/>
      <w:r w:rsidRPr="000929ED">
        <w:t>2 hour</w:t>
      </w:r>
      <w:proofErr w:type="gramEnd"/>
      <w:r w:rsidRPr="000929ED">
        <w:t xml:space="preserve"> period.  The team has developed an assessment tool to guide the process.</w:t>
      </w:r>
    </w:p>
    <w:p w14:paraId="56DB1E71" w14:textId="77777777" w:rsidR="00895988" w:rsidRPr="000929ED" w:rsidRDefault="00895988" w:rsidP="00895988">
      <w:pPr>
        <w:spacing w:before="120" w:after="120"/>
      </w:pPr>
      <w:r w:rsidRPr="000929ED">
        <w:t>Agencies were advised to assemble a group of core staff that will be part of each phase of the project from assessment to implementation. That group of staff should be present at the 2-hour facilitated assessment session. Staff recommended to be part of the core team should include:</w:t>
      </w:r>
    </w:p>
    <w:p w14:paraId="2F2BAE84" w14:textId="77777777" w:rsidR="00895988" w:rsidRPr="000929ED" w:rsidRDefault="00895988" w:rsidP="00615183">
      <w:pPr>
        <w:numPr>
          <w:ilvl w:val="0"/>
          <w:numId w:val="10"/>
        </w:numPr>
        <w:spacing w:before="120" w:after="120"/>
      </w:pPr>
      <w:r w:rsidRPr="000929ED">
        <w:t>Members of the Executive Leadership Team</w:t>
      </w:r>
    </w:p>
    <w:p w14:paraId="39D2D326" w14:textId="77777777" w:rsidR="00895988" w:rsidRPr="000929ED" w:rsidRDefault="00895988" w:rsidP="00615183">
      <w:pPr>
        <w:numPr>
          <w:ilvl w:val="0"/>
          <w:numId w:val="10"/>
        </w:numPr>
        <w:spacing w:before="120" w:after="120"/>
      </w:pPr>
      <w:r w:rsidRPr="000929ED">
        <w:t>Human Resources Director</w:t>
      </w:r>
    </w:p>
    <w:p w14:paraId="67FB206F" w14:textId="77777777" w:rsidR="00895988" w:rsidRPr="000929ED" w:rsidRDefault="00895988" w:rsidP="00615183">
      <w:pPr>
        <w:numPr>
          <w:ilvl w:val="0"/>
          <w:numId w:val="10"/>
        </w:numPr>
        <w:spacing w:before="120" w:after="120"/>
      </w:pPr>
      <w:r w:rsidRPr="000929ED">
        <w:t>Staff Development/Training Coordinator</w:t>
      </w:r>
    </w:p>
    <w:p w14:paraId="2818350B" w14:textId="77777777" w:rsidR="00895988" w:rsidRPr="000929ED" w:rsidRDefault="00895988" w:rsidP="00615183">
      <w:pPr>
        <w:numPr>
          <w:ilvl w:val="0"/>
          <w:numId w:val="10"/>
        </w:numPr>
        <w:spacing w:before="120" w:after="120"/>
      </w:pPr>
      <w:r w:rsidRPr="000929ED">
        <w:t>Field Services Administrators</w:t>
      </w:r>
    </w:p>
    <w:p w14:paraId="43B79DFE" w14:textId="77777777" w:rsidR="00895988" w:rsidRPr="000929ED" w:rsidRDefault="00895988" w:rsidP="00615183">
      <w:pPr>
        <w:numPr>
          <w:ilvl w:val="0"/>
          <w:numId w:val="10"/>
        </w:numPr>
        <w:spacing w:before="120" w:after="120"/>
      </w:pPr>
      <w:r w:rsidRPr="000929ED">
        <w:lastRenderedPageBreak/>
        <w:t>Other staff that you determine could assist in this process, e.g., if there is a unit/office in your organization where attrition is high and systemic and/or very low, you may want to consider including a member of the staff from that unit/office.</w:t>
      </w:r>
    </w:p>
    <w:p w14:paraId="7634FF8C" w14:textId="77777777" w:rsidR="00895988" w:rsidRPr="000929ED" w:rsidRDefault="00895988" w:rsidP="00895988">
      <w:pPr>
        <w:spacing w:before="120" w:after="120"/>
      </w:pPr>
      <w:r w:rsidRPr="000929ED">
        <w:rPr>
          <w:u w:val="single"/>
        </w:rPr>
        <w:t>Documents for Assessment:</w:t>
      </w:r>
    </w:p>
    <w:p w14:paraId="6A3C9BBD" w14:textId="77777777" w:rsidR="00895988" w:rsidRPr="000929ED" w:rsidRDefault="00895988" w:rsidP="00895988">
      <w:pPr>
        <w:spacing w:before="120" w:after="120"/>
      </w:pPr>
      <w:r w:rsidRPr="000929ED">
        <w:t xml:space="preserve">Agencies participating in the pilot project were also asked to send key documents prior to their assessment session so that team members have a greater understanding of each agency in the pilot.   </w:t>
      </w:r>
    </w:p>
    <w:p w14:paraId="322F817F" w14:textId="77777777" w:rsidR="00895988" w:rsidRPr="000929ED" w:rsidRDefault="00895988" w:rsidP="00615183">
      <w:pPr>
        <w:numPr>
          <w:ilvl w:val="0"/>
          <w:numId w:val="11"/>
        </w:numPr>
        <w:spacing w:before="120" w:after="120"/>
      </w:pPr>
      <w:r w:rsidRPr="000929ED">
        <w:t>Comprehensive System of Personnel Development (CSPD) section of the VR portion of the current State Plan.</w:t>
      </w:r>
    </w:p>
    <w:p w14:paraId="6387A4D3" w14:textId="77777777" w:rsidR="00895988" w:rsidRPr="000929ED" w:rsidRDefault="00895988" w:rsidP="00615183">
      <w:pPr>
        <w:numPr>
          <w:ilvl w:val="0"/>
          <w:numId w:val="11"/>
        </w:numPr>
        <w:spacing w:before="120" w:after="120"/>
      </w:pPr>
      <w:r w:rsidRPr="000929ED">
        <w:t>If not included in the CSPD section, requested details about the following:</w:t>
      </w:r>
    </w:p>
    <w:p w14:paraId="65CB1BA0" w14:textId="77777777" w:rsidR="00895988" w:rsidRPr="000929ED" w:rsidRDefault="00895988" w:rsidP="00615183">
      <w:pPr>
        <w:numPr>
          <w:ilvl w:val="1"/>
          <w:numId w:val="11"/>
        </w:numPr>
        <w:spacing w:before="120" w:after="120"/>
      </w:pPr>
      <w:r w:rsidRPr="000929ED">
        <w:t>Current and historic (3-5 years) attrition rate</w:t>
      </w:r>
    </w:p>
    <w:p w14:paraId="3BEFB552" w14:textId="77777777" w:rsidR="00895988" w:rsidRPr="000929ED" w:rsidRDefault="00895988" w:rsidP="00615183">
      <w:pPr>
        <w:numPr>
          <w:ilvl w:val="1"/>
          <w:numId w:val="11"/>
        </w:numPr>
        <w:spacing w:before="120" w:after="120"/>
      </w:pPr>
      <w:r w:rsidRPr="000929ED">
        <w:t>The number of pending retirements and their positions</w:t>
      </w:r>
    </w:p>
    <w:p w14:paraId="760BEFB7" w14:textId="77777777" w:rsidR="00895988" w:rsidRPr="000929ED" w:rsidRDefault="00895988" w:rsidP="00615183">
      <w:pPr>
        <w:numPr>
          <w:ilvl w:val="1"/>
          <w:numId w:val="11"/>
        </w:numPr>
        <w:spacing w:before="120" w:after="120"/>
      </w:pPr>
      <w:r w:rsidRPr="000929ED">
        <w:t>Average time to fill staff vacancies</w:t>
      </w:r>
    </w:p>
    <w:p w14:paraId="42F83305" w14:textId="77777777" w:rsidR="00895988" w:rsidRPr="000929ED" w:rsidRDefault="00895988" w:rsidP="00615183">
      <w:pPr>
        <w:numPr>
          <w:ilvl w:val="1"/>
          <w:numId w:val="11"/>
        </w:numPr>
        <w:spacing w:before="120" w:after="120"/>
      </w:pPr>
      <w:r w:rsidRPr="000929ED">
        <w:t>Details on any current hiring freezes</w:t>
      </w:r>
    </w:p>
    <w:p w14:paraId="46CA2440" w14:textId="77777777" w:rsidR="00895988" w:rsidRPr="000929ED" w:rsidRDefault="00895988" w:rsidP="00615183">
      <w:pPr>
        <w:numPr>
          <w:ilvl w:val="1"/>
          <w:numId w:val="11"/>
        </w:numPr>
        <w:spacing w:before="120" w:after="120"/>
      </w:pPr>
      <w:r w:rsidRPr="000929ED">
        <w:t>Details on fiscal or administrative issues that impact hiring</w:t>
      </w:r>
    </w:p>
    <w:p w14:paraId="53DD987F" w14:textId="77777777" w:rsidR="00895988" w:rsidRPr="000929ED" w:rsidRDefault="00895988" w:rsidP="00615183">
      <w:pPr>
        <w:numPr>
          <w:ilvl w:val="0"/>
          <w:numId w:val="11"/>
        </w:numPr>
        <w:spacing w:before="120" w:after="120"/>
      </w:pPr>
      <w:r w:rsidRPr="000929ED">
        <w:t>Any trends identified from the following:</w:t>
      </w:r>
    </w:p>
    <w:p w14:paraId="77301387" w14:textId="77777777" w:rsidR="00895988" w:rsidRPr="000929ED" w:rsidRDefault="00895988" w:rsidP="00615183">
      <w:pPr>
        <w:numPr>
          <w:ilvl w:val="1"/>
          <w:numId w:val="11"/>
        </w:numPr>
        <w:spacing w:before="120" w:after="120"/>
      </w:pPr>
      <w:r w:rsidRPr="000929ED">
        <w:t>Stay (Retention) Interviews, (if performed)</w:t>
      </w:r>
    </w:p>
    <w:p w14:paraId="0A6A289E" w14:textId="77777777" w:rsidR="00895988" w:rsidRPr="000929ED" w:rsidRDefault="00895988" w:rsidP="00615183">
      <w:pPr>
        <w:numPr>
          <w:ilvl w:val="1"/>
          <w:numId w:val="11"/>
        </w:numPr>
        <w:spacing w:before="120" w:after="120"/>
      </w:pPr>
      <w:r w:rsidRPr="000929ED">
        <w:t xml:space="preserve">Exit Interviews, (if performed) </w:t>
      </w:r>
    </w:p>
    <w:p w14:paraId="25A4F191" w14:textId="77777777" w:rsidR="00895988" w:rsidRPr="000929ED" w:rsidRDefault="00895988" w:rsidP="00615183">
      <w:pPr>
        <w:numPr>
          <w:ilvl w:val="0"/>
          <w:numId w:val="11"/>
        </w:numPr>
        <w:spacing w:before="120" w:after="120"/>
      </w:pPr>
      <w:r w:rsidRPr="000929ED">
        <w:t>Current Recruitment Plan</w:t>
      </w:r>
    </w:p>
    <w:p w14:paraId="43D41C0C" w14:textId="77777777" w:rsidR="00895988" w:rsidRPr="000929ED" w:rsidRDefault="00895988" w:rsidP="00615183">
      <w:pPr>
        <w:numPr>
          <w:ilvl w:val="0"/>
          <w:numId w:val="11"/>
        </w:numPr>
        <w:spacing w:before="120" w:after="120"/>
      </w:pPr>
      <w:r w:rsidRPr="000929ED">
        <w:t>Details about your current onboarding process</w:t>
      </w:r>
    </w:p>
    <w:p w14:paraId="3B44C011" w14:textId="77777777" w:rsidR="00895988" w:rsidRPr="000929ED" w:rsidRDefault="00895988" w:rsidP="00615183">
      <w:pPr>
        <w:numPr>
          <w:ilvl w:val="0"/>
          <w:numId w:val="11"/>
        </w:numPr>
        <w:spacing w:before="120" w:after="120"/>
      </w:pPr>
      <w:r w:rsidRPr="000929ED">
        <w:t>Other documents that you believe would be helpful to learn more about the organization.</w:t>
      </w:r>
    </w:p>
    <w:p w14:paraId="57891F7F" w14:textId="77777777" w:rsidR="00895988" w:rsidRPr="000929ED" w:rsidRDefault="00895988" w:rsidP="00895988">
      <w:pPr>
        <w:spacing w:before="120" w:after="120"/>
        <w:rPr>
          <w:u w:val="single"/>
        </w:rPr>
      </w:pPr>
      <w:r w:rsidRPr="000929ED">
        <w:rPr>
          <w:u w:val="single"/>
        </w:rPr>
        <w:t>Assessment Scheduling</w:t>
      </w:r>
    </w:p>
    <w:p w14:paraId="428A2460" w14:textId="77777777" w:rsidR="00895988" w:rsidRPr="000929ED" w:rsidRDefault="00895988" w:rsidP="00895988">
      <w:pPr>
        <w:spacing w:before="120" w:after="120"/>
      </w:pPr>
      <w:r w:rsidRPr="000929ED">
        <w:t xml:space="preserve">The guided assessments are now being scheduled for May and June. Assessments will be performed by a three-person team, i.e., 2 facilitators and 1 notetaker.  Assessment will be performed via Zoom.   </w:t>
      </w:r>
    </w:p>
    <w:p w14:paraId="48A25D87" w14:textId="77777777" w:rsidR="00895988" w:rsidRDefault="00895988" w:rsidP="00895988">
      <w:r w:rsidRPr="000929ED">
        <w:rPr>
          <w:b/>
          <w:bCs/>
        </w:rPr>
        <w:t>VRTAC-QM: R&amp;R Pilot Project Team</w:t>
      </w:r>
      <w:r w:rsidRPr="000929ED">
        <w:t>: Carol Pankow, Crystal Anderson, Melissa Diehl, Ron Vessel, Katherine Hurley, and John Walsh</w:t>
      </w:r>
    </w:p>
    <w:p w14:paraId="17EAD80A" w14:textId="77777777" w:rsidR="00895988" w:rsidRPr="008A7DF3" w:rsidRDefault="00895988" w:rsidP="00895988">
      <w:pPr>
        <w:rPr>
          <w:b/>
          <w:bCs/>
          <w:u w:val="single"/>
        </w:rPr>
      </w:pPr>
      <w:r w:rsidRPr="008A7DF3">
        <w:rPr>
          <w:b/>
          <w:bCs/>
          <w:u w:val="single"/>
        </w:rPr>
        <w:t>Other Targeted TA of note:</w:t>
      </w:r>
    </w:p>
    <w:p w14:paraId="276EC2DD" w14:textId="77777777" w:rsidR="00895988" w:rsidRDefault="00895988" w:rsidP="00615183">
      <w:pPr>
        <w:pStyle w:val="ListParagraph"/>
        <w:numPr>
          <w:ilvl w:val="0"/>
          <w:numId w:val="8"/>
        </w:numPr>
        <w:spacing w:before="120" w:after="120"/>
        <w:contextualSpacing w:val="0"/>
      </w:pPr>
      <w:r>
        <w:t>Assisted California Combined to resolve their corrective action related to their TPCAs. This has been a multi-step process to help them resolve their CAP findings in this area.</w:t>
      </w:r>
    </w:p>
    <w:p w14:paraId="5F3659D9" w14:textId="77777777" w:rsidR="00895988" w:rsidRDefault="00895988" w:rsidP="00615183">
      <w:pPr>
        <w:pStyle w:val="ListParagraph"/>
        <w:numPr>
          <w:ilvl w:val="0"/>
          <w:numId w:val="8"/>
        </w:numPr>
        <w:spacing w:before="120" w:after="120"/>
        <w:contextualSpacing w:val="0"/>
      </w:pPr>
      <w:r>
        <w:t xml:space="preserve">Worked closely with Oregon General on their contracts review and determination of </w:t>
      </w:r>
      <w:proofErr w:type="gramStart"/>
      <w:r>
        <w:t>whether or not</w:t>
      </w:r>
      <w:proofErr w:type="gramEnd"/>
      <w:r>
        <w:t xml:space="preserve"> these were compliant with contracting requirements and match. In addition, we sat in on </w:t>
      </w:r>
      <w:proofErr w:type="gramStart"/>
      <w:r>
        <w:t>all of</w:t>
      </w:r>
      <w:proofErr w:type="gramEnd"/>
      <w:r>
        <w:t xml:space="preserve"> the RSA monitoring sessions with the agency.</w:t>
      </w:r>
    </w:p>
    <w:p w14:paraId="4321B133" w14:textId="77777777" w:rsidR="00895988" w:rsidRDefault="00895988" w:rsidP="00615183">
      <w:pPr>
        <w:pStyle w:val="ListParagraph"/>
        <w:numPr>
          <w:ilvl w:val="0"/>
          <w:numId w:val="8"/>
        </w:numPr>
        <w:spacing w:before="120" w:after="120"/>
        <w:contextualSpacing w:val="0"/>
      </w:pPr>
      <w:r>
        <w:lastRenderedPageBreak/>
        <w:t>We provided internal controls training for the Oregon Blind staff and made plans for future training on DRAAN and Period of Performance.</w:t>
      </w:r>
    </w:p>
    <w:p w14:paraId="7E97C36C" w14:textId="77777777" w:rsidR="00895988" w:rsidRDefault="00895988" w:rsidP="00615183">
      <w:pPr>
        <w:pStyle w:val="ListParagraph"/>
        <w:numPr>
          <w:ilvl w:val="0"/>
          <w:numId w:val="8"/>
        </w:numPr>
        <w:spacing w:before="120" w:after="120"/>
        <w:contextualSpacing w:val="0"/>
      </w:pPr>
      <w:r>
        <w:t>We conducted a field training for Kentucky Combined on cost principles and internal controls. There were 320 staff present.</w:t>
      </w:r>
    </w:p>
    <w:p w14:paraId="6B72DECD" w14:textId="684828CD" w:rsidR="00C450D9" w:rsidRDefault="00C450D9" w:rsidP="00C450D9">
      <w:pPr>
        <w:pStyle w:val="Heading2"/>
      </w:pPr>
      <w:bookmarkStart w:id="11" w:name="_Toc102116137"/>
      <w:r>
        <w:t>Webinars</w:t>
      </w:r>
      <w:r w:rsidR="00240C10">
        <w:t xml:space="preserve"> and other web-based TA or Information</w:t>
      </w:r>
      <w:r>
        <w:t>:</w:t>
      </w:r>
      <w:bookmarkEnd w:id="11"/>
    </w:p>
    <w:p w14:paraId="75672170" w14:textId="1B6EA4B8" w:rsidR="00DB657A" w:rsidRDefault="00240C10" w:rsidP="00615183">
      <w:pPr>
        <w:pStyle w:val="ListParagraph"/>
        <w:numPr>
          <w:ilvl w:val="0"/>
          <w:numId w:val="2"/>
        </w:numPr>
        <w:spacing w:before="120" w:after="120" w:line="276" w:lineRule="auto"/>
      </w:pPr>
      <w:r>
        <w:t>We worked in partnership with the Summit Group this Quarter to present three discussion forums related to program and performance quality management and quality assurance. The topic areas included:</w:t>
      </w:r>
    </w:p>
    <w:p w14:paraId="7EB1E362" w14:textId="6D44FA43" w:rsidR="00240C10" w:rsidRDefault="00240C10" w:rsidP="00615183">
      <w:pPr>
        <w:pStyle w:val="ListParagraph"/>
        <w:numPr>
          <w:ilvl w:val="4"/>
          <w:numId w:val="1"/>
        </w:numPr>
        <w:spacing w:before="120" w:after="120" w:line="276" w:lineRule="auto"/>
        <w:ind w:left="1080"/>
      </w:pPr>
      <w:r>
        <w:t>Case file reviews</w:t>
      </w:r>
    </w:p>
    <w:p w14:paraId="0A41BC8D" w14:textId="1539D0D0" w:rsidR="00240C10" w:rsidRDefault="00240C10" w:rsidP="00615183">
      <w:pPr>
        <w:pStyle w:val="ListParagraph"/>
        <w:numPr>
          <w:ilvl w:val="4"/>
          <w:numId w:val="1"/>
        </w:numPr>
        <w:spacing w:before="120" w:after="120" w:line="276" w:lineRule="auto"/>
        <w:ind w:left="1080"/>
      </w:pPr>
      <w:r>
        <w:t>Tracking pre-ETS</w:t>
      </w:r>
    </w:p>
    <w:p w14:paraId="660C6871" w14:textId="3631485F" w:rsidR="00240C10" w:rsidRDefault="00240C10" w:rsidP="00615183">
      <w:pPr>
        <w:pStyle w:val="ListParagraph"/>
        <w:numPr>
          <w:ilvl w:val="4"/>
          <w:numId w:val="1"/>
        </w:numPr>
        <w:spacing w:before="120" w:after="120" w:line="276" w:lineRule="auto"/>
        <w:ind w:left="1080"/>
      </w:pPr>
      <w:r>
        <w:t>Data validation</w:t>
      </w:r>
    </w:p>
    <w:p w14:paraId="1BB22E65" w14:textId="77292B43" w:rsidR="00240C10" w:rsidRDefault="00240C10" w:rsidP="00615183">
      <w:pPr>
        <w:pStyle w:val="ListParagraph"/>
        <w:numPr>
          <w:ilvl w:val="0"/>
          <w:numId w:val="1"/>
        </w:numPr>
        <w:spacing w:before="120" w:after="120" w:line="276" w:lineRule="auto"/>
      </w:pPr>
      <w:r>
        <w:t>We have developed 13 podcasts on multiple QM practices and strategies that are available for download on our website and anywhere people listen to podcasts.</w:t>
      </w:r>
    </w:p>
    <w:p w14:paraId="016D9457" w14:textId="6421E7A2" w:rsidR="00240C10" w:rsidRDefault="00240C10" w:rsidP="00615183">
      <w:pPr>
        <w:pStyle w:val="ListParagraph"/>
        <w:numPr>
          <w:ilvl w:val="0"/>
          <w:numId w:val="1"/>
        </w:numPr>
        <w:spacing w:before="120" w:after="120" w:line="276" w:lineRule="auto"/>
      </w:pPr>
      <w:r>
        <w:t xml:space="preserve">We have developed micro-trainings that are available on the website. These are quick </w:t>
      </w:r>
      <w:proofErr w:type="gramStart"/>
      <w:r>
        <w:t>5-15 minute</w:t>
      </w:r>
      <w:proofErr w:type="gramEnd"/>
      <w:r>
        <w:t xml:space="preserve"> training and informational sessions.</w:t>
      </w:r>
    </w:p>
    <w:p w14:paraId="445225E3" w14:textId="77777777" w:rsidR="009A787F" w:rsidRDefault="009A787F" w:rsidP="009A787F">
      <w:pPr>
        <w:pStyle w:val="Heading2"/>
      </w:pPr>
      <w:bookmarkStart w:id="12" w:name="_Toc102116138"/>
      <w:r>
        <w:t>Trainings:</w:t>
      </w:r>
      <w:bookmarkEnd w:id="12"/>
    </w:p>
    <w:p w14:paraId="638A9880" w14:textId="3B5D1CB6" w:rsidR="009A787F" w:rsidRDefault="00F63AB3" w:rsidP="00F63AB3">
      <w:pPr>
        <w:pStyle w:val="Style1"/>
      </w:pPr>
      <w:r>
        <w:t>The summary of online trainings and CRC certificate completion is contained in Table 2:</w:t>
      </w:r>
    </w:p>
    <w:p w14:paraId="7E23334D" w14:textId="4932AE2D" w:rsidR="00F63AB3" w:rsidRDefault="00F63AB3" w:rsidP="00F63AB3">
      <w:pPr>
        <w:pStyle w:val="NoSpacing"/>
      </w:pPr>
      <w:r>
        <w:t>Table 2</w:t>
      </w:r>
    </w:p>
    <w:p w14:paraId="3850C7D2" w14:textId="001DEB01" w:rsidR="00F63AB3" w:rsidRPr="00F63AB3" w:rsidRDefault="00F63AB3" w:rsidP="00F63AB3">
      <w:pPr>
        <w:pStyle w:val="NoSpacing"/>
        <w:rPr>
          <w:i/>
          <w:iCs/>
        </w:rPr>
      </w:pPr>
      <w:r w:rsidRPr="00F63AB3">
        <w:rPr>
          <w:i/>
          <w:iCs/>
        </w:rPr>
        <w:t>Training Summary to date</w:t>
      </w:r>
    </w:p>
    <w:tbl>
      <w:tblPr>
        <w:tblW w:w="102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17"/>
        <w:gridCol w:w="1597"/>
        <w:gridCol w:w="1549"/>
        <w:gridCol w:w="1586"/>
      </w:tblGrid>
      <w:tr w:rsidR="00F63AB3" w:rsidRPr="00467E74" w14:paraId="03377F77" w14:textId="77777777" w:rsidTr="00250466">
        <w:trPr>
          <w:trHeight w:val="798"/>
          <w:tblHeader/>
        </w:trPr>
        <w:tc>
          <w:tcPr>
            <w:tcW w:w="5517" w:type="dxa"/>
            <w:shd w:val="clear" w:color="auto" w:fill="D9E2F3" w:themeFill="accent5" w:themeFillTint="33"/>
            <w:vAlign w:val="bottom"/>
            <w:hideMark/>
          </w:tcPr>
          <w:p w14:paraId="727A8AE9" w14:textId="77777777" w:rsidR="00F63AB3" w:rsidRPr="00467E74" w:rsidRDefault="00F63AB3" w:rsidP="001232D8">
            <w:pPr>
              <w:spacing w:before="40" w:after="40" w:line="276" w:lineRule="auto"/>
              <w:jc w:val="center"/>
              <w:rPr>
                <w:rFonts w:eastAsia="Times New Roman"/>
                <w:b/>
                <w:sz w:val="22"/>
                <w:szCs w:val="22"/>
              </w:rPr>
            </w:pPr>
            <w:r w:rsidRPr="00467E74">
              <w:rPr>
                <w:rFonts w:eastAsia="Times New Roman"/>
                <w:b/>
                <w:sz w:val="22"/>
                <w:szCs w:val="22"/>
              </w:rPr>
              <w:t>Training</w:t>
            </w:r>
          </w:p>
        </w:tc>
        <w:tc>
          <w:tcPr>
            <w:tcW w:w="1597" w:type="dxa"/>
            <w:shd w:val="clear" w:color="auto" w:fill="D9E2F3" w:themeFill="accent5" w:themeFillTint="33"/>
            <w:vAlign w:val="bottom"/>
            <w:hideMark/>
          </w:tcPr>
          <w:p w14:paraId="622FEFEC" w14:textId="77777777" w:rsidR="00F63AB3" w:rsidRPr="00467E74" w:rsidRDefault="00F63AB3" w:rsidP="001232D8">
            <w:pPr>
              <w:spacing w:before="40" w:after="40" w:line="276" w:lineRule="auto"/>
              <w:jc w:val="center"/>
              <w:rPr>
                <w:rFonts w:eastAsia="Times New Roman"/>
                <w:b/>
                <w:sz w:val="22"/>
                <w:szCs w:val="22"/>
              </w:rPr>
            </w:pPr>
            <w:r w:rsidRPr="00467E74">
              <w:rPr>
                <w:rFonts w:eastAsia="Times New Roman"/>
                <w:b/>
                <w:sz w:val="22"/>
                <w:szCs w:val="22"/>
              </w:rPr>
              <w:t>Enrollment</w:t>
            </w:r>
          </w:p>
        </w:tc>
        <w:tc>
          <w:tcPr>
            <w:tcW w:w="1549" w:type="dxa"/>
            <w:shd w:val="clear" w:color="auto" w:fill="D9E2F3" w:themeFill="accent5" w:themeFillTint="33"/>
            <w:vAlign w:val="bottom"/>
            <w:hideMark/>
          </w:tcPr>
          <w:p w14:paraId="6414247F" w14:textId="32C90898" w:rsidR="00F63AB3" w:rsidRPr="00467E74" w:rsidRDefault="00F63AB3" w:rsidP="001232D8">
            <w:pPr>
              <w:spacing w:before="40" w:after="40" w:line="276" w:lineRule="auto"/>
              <w:jc w:val="center"/>
              <w:rPr>
                <w:rFonts w:eastAsia="Times New Roman"/>
                <w:b/>
                <w:sz w:val="22"/>
                <w:szCs w:val="22"/>
              </w:rPr>
            </w:pPr>
            <w:r w:rsidRPr="00467E74">
              <w:rPr>
                <w:rFonts w:eastAsia="Times New Roman"/>
                <w:b/>
                <w:sz w:val="22"/>
                <w:szCs w:val="22"/>
              </w:rPr>
              <w:t>Cert</w:t>
            </w:r>
            <w:r w:rsidR="00250466">
              <w:rPr>
                <w:rFonts w:eastAsia="Times New Roman"/>
                <w:b/>
                <w:sz w:val="22"/>
                <w:szCs w:val="22"/>
              </w:rPr>
              <w:t xml:space="preserve">. </w:t>
            </w:r>
            <w:r w:rsidRPr="00467E74">
              <w:rPr>
                <w:rFonts w:eastAsia="Times New Roman"/>
                <w:b/>
                <w:sz w:val="22"/>
                <w:szCs w:val="22"/>
              </w:rPr>
              <w:t>of Completion</w:t>
            </w:r>
          </w:p>
        </w:tc>
        <w:tc>
          <w:tcPr>
            <w:tcW w:w="1586" w:type="dxa"/>
            <w:shd w:val="clear" w:color="auto" w:fill="D9E2F3" w:themeFill="accent5" w:themeFillTint="33"/>
            <w:vAlign w:val="bottom"/>
            <w:hideMark/>
          </w:tcPr>
          <w:p w14:paraId="73C90E53" w14:textId="77777777" w:rsidR="00F63AB3" w:rsidRPr="00467E74" w:rsidRDefault="00F63AB3" w:rsidP="001232D8">
            <w:pPr>
              <w:spacing w:before="40" w:after="40" w:line="276" w:lineRule="auto"/>
              <w:jc w:val="center"/>
              <w:rPr>
                <w:rFonts w:eastAsia="Times New Roman"/>
                <w:b/>
                <w:sz w:val="22"/>
                <w:szCs w:val="22"/>
              </w:rPr>
            </w:pPr>
            <w:r w:rsidRPr="00467E74">
              <w:rPr>
                <w:rFonts w:eastAsia="Times New Roman"/>
                <w:b/>
                <w:sz w:val="22"/>
                <w:szCs w:val="22"/>
              </w:rPr>
              <w:t>CRC Verification</w:t>
            </w:r>
          </w:p>
        </w:tc>
      </w:tr>
      <w:tr w:rsidR="00F63AB3" w:rsidRPr="00467E74" w14:paraId="44B50311" w14:textId="77777777" w:rsidTr="00250466">
        <w:trPr>
          <w:trHeight w:val="308"/>
        </w:trPr>
        <w:tc>
          <w:tcPr>
            <w:tcW w:w="5517" w:type="dxa"/>
            <w:shd w:val="clear" w:color="auto" w:fill="auto"/>
            <w:noWrap/>
            <w:vAlign w:val="center"/>
            <w:hideMark/>
          </w:tcPr>
          <w:p w14:paraId="0321AEB5"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Ethics, Supervision, and Technology (QM2021-0301)</w:t>
            </w:r>
          </w:p>
        </w:tc>
        <w:tc>
          <w:tcPr>
            <w:tcW w:w="1597" w:type="dxa"/>
            <w:shd w:val="clear" w:color="auto" w:fill="auto"/>
            <w:noWrap/>
            <w:vAlign w:val="center"/>
            <w:hideMark/>
          </w:tcPr>
          <w:p w14:paraId="3E380B41"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305</w:t>
            </w:r>
          </w:p>
        </w:tc>
        <w:tc>
          <w:tcPr>
            <w:tcW w:w="1549" w:type="dxa"/>
            <w:shd w:val="clear" w:color="auto" w:fill="auto"/>
            <w:noWrap/>
            <w:vAlign w:val="center"/>
            <w:hideMark/>
          </w:tcPr>
          <w:p w14:paraId="0714A19E"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134</w:t>
            </w:r>
          </w:p>
        </w:tc>
        <w:tc>
          <w:tcPr>
            <w:tcW w:w="1586" w:type="dxa"/>
            <w:shd w:val="clear" w:color="auto" w:fill="auto"/>
            <w:noWrap/>
            <w:vAlign w:val="center"/>
            <w:hideMark/>
          </w:tcPr>
          <w:p w14:paraId="3D88D08A"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134</w:t>
            </w:r>
          </w:p>
        </w:tc>
      </w:tr>
      <w:tr w:rsidR="00F63AB3" w:rsidRPr="00467E74" w14:paraId="6FF5EB8E" w14:textId="77777777" w:rsidTr="00250466">
        <w:trPr>
          <w:trHeight w:val="308"/>
        </w:trPr>
        <w:tc>
          <w:tcPr>
            <w:tcW w:w="5517" w:type="dxa"/>
            <w:shd w:val="clear" w:color="auto" w:fill="auto"/>
            <w:noWrap/>
            <w:vAlign w:val="center"/>
            <w:hideMark/>
          </w:tcPr>
          <w:p w14:paraId="6F438135"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Managing the Shift (QM2021-0302)</w:t>
            </w:r>
          </w:p>
        </w:tc>
        <w:tc>
          <w:tcPr>
            <w:tcW w:w="1597" w:type="dxa"/>
            <w:shd w:val="clear" w:color="auto" w:fill="auto"/>
            <w:noWrap/>
            <w:vAlign w:val="center"/>
            <w:hideMark/>
          </w:tcPr>
          <w:p w14:paraId="0BC0CCE3"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205</w:t>
            </w:r>
          </w:p>
        </w:tc>
        <w:tc>
          <w:tcPr>
            <w:tcW w:w="1549" w:type="dxa"/>
            <w:shd w:val="clear" w:color="auto" w:fill="auto"/>
            <w:noWrap/>
            <w:vAlign w:val="center"/>
            <w:hideMark/>
          </w:tcPr>
          <w:p w14:paraId="7E80D30A"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74</w:t>
            </w:r>
          </w:p>
        </w:tc>
        <w:tc>
          <w:tcPr>
            <w:tcW w:w="1586" w:type="dxa"/>
            <w:shd w:val="clear" w:color="auto" w:fill="auto"/>
            <w:noWrap/>
            <w:vAlign w:val="center"/>
            <w:hideMark/>
          </w:tcPr>
          <w:p w14:paraId="2F2D17C7"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74</w:t>
            </w:r>
          </w:p>
        </w:tc>
      </w:tr>
      <w:tr w:rsidR="00F63AB3" w:rsidRPr="00467E74" w14:paraId="2011FA65" w14:textId="77777777" w:rsidTr="00250466">
        <w:trPr>
          <w:trHeight w:val="308"/>
        </w:trPr>
        <w:tc>
          <w:tcPr>
            <w:tcW w:w="5517" w:type="dxa"/>
            <w:shd w:val="clear" w:color="auto" w:fill="auto"/>
            <w:noWrap/>
            <w:vAlign w:val="center"/>
            <w:hideMark/>
          </w:tcPr>
          <w:p w14:paraId="485AA49D"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Resolving Conflict (QM2021-0303)</w:t>
            </w:r>
          </w:p>
        </w:tc>
        <w:tc>
          <w:tcPr>
            <w:tcW w:w="1597" w:type="dxa"/>
            <w:shd w:val="clear" w:color="auto" w:fill="auto"/>
            <w:noWrap/>
            <w:vAlign w:val="center"/>
            <w:hideMark/>
          </w:tcPr>
          <w:p w14:paraId="586A08F4"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196</w:t>
            </w:r>
          </w:p>
        </w:tc>
        <w:tc>
          <w:tcPr>
            <w:tcW w:w="1549" w:type="dxa"/>
            <w:shd w:val="clear" w:color="auto" w:fill="auto"/>
            <w:noWrap/>
            <w:vAlign w:val="center"/>
            <w:hideMark/>
          </w:tcPr>
          <w:p w14:paraId="76E66462"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71</w:t>
            </w:r>
          </w:p>
        </w:tc>
        <w:tc>
          <w:tcPr>
            <w:tcW w:w="1586" w:type="dxa"/>
            <w:shd w:val="clear" w:color="auto" w:fill="auto"/>
            <w:noWrap/>
            <w:vAlign w:val="center"/>
            <w:hideMark/>
          </w:tcPr>
          <w:p w14:paraId="7FA60B71"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74</w:t>
            </w:r>
          </w:p>
        </w:tc>
      </w:tr>
      <w:tr w:rsidR="00F63AB3" w:rsidRPr="00467E74" w14:paraId="01727166" w14:textId="77777777" w:rsidTr="00250466">
        <w:trPr>
          <w:trHeight w:val="308"/>
        </w:trPr>
        <w:tc>
          <w:tcPr>
            <w:tcW w:w="5517" w:type="dxa"/>
            <w:shd w:val="clear" w:color="auto" w:fill="auto"/>
            <w:noWrap/>
            <w:vAlign w:val="center"/>
            <w:hideMark/>
          </w:tcPr>
          <w:p w14:paraId="6CBFB068"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Non-Delegable Responsibilities (QM2021-0305)</w:t>
            </w:r>
          </w:p>
        </w:tc>
        <w:tc>
          <w:tcPr>
            <w:tcW w:w="1597" w:type="dxa"/>
            <w:shd w:val="clear" w:color="auto" w:fill="auto"/>
            <w:noWrap/>
            <w:vAlign w:val="center"/>
            <w:hideMark/>
          </w:tcPr>
          <w:p w14:paraId="10DF7D12"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123</w:t>
            </w:r>
          </w:p>
        </w:tc>
        <w:tc>
          <w:tcPr>
            <w:tcW w:w="1549" w:type="dxa"/>
            <w:shd w:val="clear" w:color="auto" w:fill="auto"/>
            <w:noWrap/>
            <w:vAlign w:val="center"/>
            <w:hideMark/>
          </w:tcPr>
          <w:p w14:paraId="68CDD59B"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w:t>
            </w:r>
          </w:p>
        </w:tc>
        <w:tc>
          <w:tcPr>
            <w:tcW w:w="1586" w:type="dxa"/>
            <w:shd w:val="clear" w:color="auto" w:fill="auto"/>
            <w:noWrap/>
            <w:vAlign w:val="center"/>
            <w:hideMark/>
          </w:tcPr>
          <w:p w14:paraId="3B8892BF"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N/A </w:t>
            </w:r>
          </w:p>
        </w:tc>
      </w:tr>
      <w:tr w:rsidR="00F63AB3" w:rsidRPr="00467E74" w14:paraId="08505430" w14:textId="77777777" w:rsidTr="00250466">
        <w:trPr>
          <w:trHeight w:val="308"/>
        </w:trPr>
        <w:tc>
          <w:tcPr>
            <w:tcW w:w="5517" w:type="dxa"/>
            <w:shd w:val="clear" w:color="auto" w:fill="auto"/>
            <w:noWrap/>
            <w:vAlign w:val="center"/>
            <w:hideMark/>
          </w:tcPr>
          <w:p w14:paraId="1E74F886"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SRC (QM2021-0306)</w:t>
            </w:r>
          </w:p>
        </w:tc>
        <w:tc>
          <w:tcPr>
            <w:tcW w:w="1597" w:type="dxa"/>
            <w:shd w:val="clear" w:color="auto" w:fill="auto"/>
            <w:noWrap/>
            <w:vAlign w:val="center"/>
            <w:hideMark/>
          </w:tcPr>
          <w:p w14:paraId="086EF571"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218</w:t>
            </w:r>
          </w:p>
        </w:tc>
        <w:tc>
          <w:tcPr>
            <w:tcW w:w="1549" w:type="dxa"/>
            <w:shd w:val="clear" w:color="auto" w:fill="auto"/>
            <w:noWrap/>
            <w:vAlign w:val="center"/>
            <w:hideMark/>
          </w:tcPr>
          <w:p w14:paraId="23CA96FA"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49</w:t>
            </w:r>
          </w:p>
        </w:tc>
        <w:tc>
          <w:tcPr>
            <w:tcW w:w="1586" w:type="dxa"/>
            <w:shd w:val="clear" w:color="auto" w:fill="auto"/>
            <w:noWrap/>
            <w:vAlign w:val="center"/>
            <w:hideMark/>
          </w:tcPr>
          <w:p w14:paraId="2E0EC961"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38</w:t>
            </w:r>
          </w:p>
        </w:tc>
      </w:tr>
      <w:tr w:rsidR="00F63AB3" w:rsidRPr="00467E74" w14:paraId="57C60BCB" w14:textId="77777777" w:rsidTr="00250466">
        <w:trPr>
          <w:trHeight w:val="308"/>
        </w:trPr>
        <w:tc>
          <w:tcPr>
            <w:tcW w:w="5517" w:type="dxa"/>
            <w:shd w:val="clear" w:color="auto" w:fill="auto"/>
            <w:noWrap/>
            <w:vAlign w:val="center"/>
            <w:hideMark/>
          </w:tcPr>
          <w:p w14:paraId="0CBA6B47"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Data Validation (QM2022-0101)</w:t>
            </w:r>
          </w:p>
        </w:tc>
        <w:tc>
          <w:tcPr>
            <w:tcW w:w="1597" w:type="dxa"/>
            <w:shd w:val="clear" w:color="auto" w:fill="auto"/>
            <w:noWrap/>
            <w:vAlign w:val="center"/>
            <w:hideMark/>
          </w:tcPr>
          <w:p w14:paraId="66B2369B"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21</w:t>
            </w:r>
          </w:p>
        </w:tc>
        <w:tc>
          <w:tcPr>
            <w:tcW w:w="1549" w:type="dxa"/>
            <w:shd w:val="clear" w:color="auto" w:fill="auto"/>
            <w:noWrap/>
            <w:vAlign w:val="center"/>
            <w:hideMark/>
          </w:tcPr>
          <w:p w14:paraId="5DE5B628"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5</w:t>
            </w:r>
          </w:p>
        </w:tc>
        <w:tc>
          <w:tcPr>
            <w:tcW w:w="1586" w:type="dxa"/>
            <w:shd w:val="clear" w:color="auto" w:fill="auto"/>
            <w:noWrap/>
            <w:vAlign w:val="center"/>
            <w:hideMark/>
          </w:tcPr>
          <w:p w14:paraId="5089F698"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9</w:t>
            </w:r>
          </w:p>
        </w:tc>
      </w:tr>
      <w:tr w:rsidR="00F63AB3" w:rsidRPr="00467E74" w14:paraId="461287FC" w14:textId="77777777" w:rsidTr="00250466">
        <w:trPr>
          <w:trHeight w:val="308"/>
        </w:trPr>
        <w:tc>
          <w:tcPr>
            <w:tcW w:w="5517" w:type="dxa"/>
            <w:shd w:val="clear" w:color="auto" w:fill="auto"/>
            <w:noWrap/>
            <w:vAlign w:val="center"/>
            <w:hideMark/>
          </w:tcPr>
          <w:p w14:paraId="63BF5E22"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Case File Review System (QM2022-0102)</w:t>
            </w:r>
          </w:p>
        </w:tc>
        <w:tc>
          <w:tcPr>
            <w:tcW w:w="1597" w:type="dxa"/>
            <w:shd w:val="clear" w:color="auto" w:fill="auto"/>
            <w:noWrap/>
            <w:vAlign w:val="center"/>
            <w:hideMark/>
          </w:tcPr>
          <w:p w14:paraId="3F8B3410"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23</w:t>
            </w:r>
          </w:p>
        </w:tc>
        <w:tc>
          <w:tcPr>
            <w:tcW w:w="1549" w:type="dxa"/>
            <w:shd w:val="clear" w:color="auto" w:fill="auto"/>
            <w:noWrap/>
            <w:vAlign w:val="center"/>
            <w:hideMark/>
          </w:tcPr>
          <w:p w14:paraId="5A59315D"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w:t>
            </w:r>
          </w:p>
        </w:tc>
        <w:tc>
          <w:tcPr>
            <w:tcW w:w="1586" w:type="dxa"/>
            <w:shd w:val="clear" w:color="auto" w:fill="auto"/>
            <w:noWrap/>
            <w:vAlign w:val="center"/>
            <w:hideMark/>
          </w:tcPr>
          <w:p w14:paraId="2AC797AD"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9</w:t>
            </w:r>
          </w:p>
        </w:tc>
      </w:tr>
      <w:tr w:rsidR="00F63AB3" w:rsidRPr="00467E74" w14:paraId="7FF81FE6" w14:textId="77777777" w:rsidTr="00250466">
        <w:trPr>
          <w:trHeight w:val="308"/>
        </w:trPr>
        <w:tc>
          <w:tcPr>
            <w:tcW w:w="5517" w:type="dxa"/>
            <w:shd w:val="clear" w:color="auto" w:fill="auto"/>
            <w:noWrap/>
            <w:vAlign w:val="center"/>
            <w:hideMark/>
          </w:tcPr>
          <w:p w14:paraId="4FF7BAF8"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Pre-ETS Tracking (QM2022-0103)</w:t>
            </w:r>
          </w:p>
        </w:tc>
        <w:tc>
          <w:tcPr>
            <w:tcW w:w="1597" w:type="dxa"/>
            <w:shd w:val="clear" w:color="auto" w:fill="auto"/>
            <w:noWrap/>
            <w:vAlign w:val="center"/>
            <w:hideMark/>
          </w:tcPr>
          <w:p w14:paraId="6DCC8F90"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30</w:t>
            </w:r>
          </w:p>
        </w:tc>
        <w:tc>
          <w:tcPr>
            <w:tcW w:w="1549" w:type="dxa"/>
            <w:shd w:val="clear" w:color="auto" w:fill="auto"/>
            <w:noWrap/>
            <w:vAlign w:val="center"/>
            <w:hideMark/>
          </w:tcPr>
          <w:p w14:paraId="5BAC6E7D"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w:t>
            </w:r>
          </w:p>
        </w:tc>
        <w:tc>
          <w:tcPr>
            <w:tcW w:w="1586" w:type="dxa"/>
            <w:shd w:val="clear" w:color="auto" w:fill="auto"/>
            <w:noWrap/>
            <w:vAlign w:val="center"/>
            <w:hideMark/>
          </w:tcPr>
          <w:p w14:paraId="01178FE6"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11</w:t>
            </w:r>
          </w:p>
        </w:tc>
      </w:tr>
      <w:tr w:rsidR="00F63AB3" w:rsidRPr="00467E74" w14:paraId="7D052463" w14:textId="77777777" w:rsidTr="00250466">
        <w:trPr>
          <w:trHeight w:val="308"/>
        </w:trPr>
        <w:tc>
          <w:tcPr>
            <w:tcW w:w="5517" w:type="dxa"/>
            <w:shd w:val="clear" w:color="auto" w:fill="auto"/>
            <w:noWrap/>
            <w:vAlign w:val="center"/>
            <w:hideMark/>
          </w:tcPr>
          <w:p w14:paraId="6CECC758"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Credential Attainment Rate (QM2022-0301)</w:t>
            </w:r>
          </w:p>
        </w:tc>
        <w:tc>
          <w:tcPr>
            <w:tcW w:w="1597" w:type="dxa"/>
            <w:shd w:val="clear" w:color="auto" w:fill="auto"/>
            <w:noWrap/>
            <w:vAlign w:val="center"/>
            <w:hideMark/>
          </w:tcPr>
          <w:p w14:paraId="52A86C09"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292</w:t>
            </w:r>
          </w:p>
        </w:tc>
        <w:tc>
          <w:tcPr>
            <w:tcW w:w="1549" w:type="dxa"/>
            <w:shd w:val="clear" w:color="auto" w:fill="auto"/>
            <w:noWrap/>
            <w:vAlign w:val="center"/>
            <w:hideMark/>
          </w:tcPr>
          <w:p w14:paraId="224572DB"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76</w:t>
            </w:r>
          </w:p>
        </w:tc>
        <w:tc>
          <w:tcPr>
            <w:tcW w:w="1586" w:type="dxa"/>
            <w:shd w:val="clear" w:color="auto" w:fill="auto"/>
            <w:noWrap/>
            <w:vAlign w:val="center"/>
            <w:hideMark/>
          </w:tcPr>
          <w:p w14:paraId="5D541060"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0 </w:t>
            </w:r>
          </w:p>
        </w:tc>
      </w:tr>
      <w:tr w:rsidR="00F63AB3" w:rsidRPr="00467E74" w14:paraId="50945543" w14:textId="77777777" w:rsidTr="00250466">
        <w:trPr>
          <w:trHeight w:val="308"/>
        </w:trPr>
        <w:tc>
          <w:tcPr>
            <w:tcW w:w="5517" w:type="dxa"/>
            <w:shd w:val="clear" w:color="auto" w:fill="auto"/>
            <w:noWrap/>
            <w:vAlign w:val="center"/>
            <w:hideMark/>
          </w:tcPr>
          <w:p w14:paraId="4951F149" w14:textId="77777777" w:rsidR="00F63AB3" w:rsidRPr="00467E74" w:rsidRDefault="00F63AB3" w:rsidP="001232D8">
            <w:pPr>
              <w:spacing w:before="60" w:after="60"/>
              <w:rPr>
                <w:rFonts w:eastAsia="Times New Roman"/>
                <w:color w:val="000000"/>
                <w:sz w:val="22"/>
                <w:szCs w:val="22"/>
              </w:rPr>
            </w:pPr>
            <w:r w:rsidRPr="00467E74">
              <w:rPr>
                <w:rFonts w:eastAsia="Times New Roman"/>
                <w:color w:val="000000"/>
                <w:sz w:val="22"/>
                <w:szCs w:val="22"/>
              </w:rPr>
              <w:t>Coaching Strategies (QM2022-0302)</w:t>
            </w:r>
          </w:p>
        </w:tc>
        <w:tc>
          <w:tcPr>
            <w:tcW w:w="1597" w:type="dxa"/>
            <w:shd w:val="clear" w:color="auto" w:fill="auto"/>
            <w:noWrap/>
            <w:vAlign w:val="center"/>
            <w:hideMark/>
          </w:tcPr>
          <w:p w14:paraId="67A25928"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66</w:t>
            </w:r>
          </w:p>
        </w:tc>
        <w:tc>
          <w:tcPr>
            <w:tcW w:w="1549" w:type="dxa"/>
            <w:shd w:val="clear" w:color="auto" w:fill="auto"/>
            <w:noWrap/>
            <w:vAlign w:val="center"/>
            <w:hideMark/>
          </w:tcPr>
          <w:p w14:paraId="5A4332FD"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14</w:t>
            </w:r>
          </w:p>
        </w:tc>
        <w:tc>
          <w:tcPr>
            <w:tcW w:w="1586" w:type="dxa"/>
            <w:shd w:val="clear" w:color="auto" w:fill="auto"/>
            <w:noWrap/>
            <w:vAlign w:val="center"/>
            <w:hideMark/>
          </w:tcPr>
          <w:p w14:paraId="5F07FD7C" w14:textId="77777777" w:rsidR="00F63AB3" w:rsidRPr="00467E74" w:rsidRDefault="00F63AB3" w:rsidP="001232D8">
            <w:pPr>
              <w:spacing w:before="60" w:after="60"/>
              <w:jc w:val="right"/>
              <w:rPr>
                <w:rFonts w:eastAsia="Times New Roman"/>
                <w:color w:val="000000"/>
                <w:sz w:val="22"/>
                <w:szCs w:val="22"/>
              </w:rPr>
            </w:pPr>
            <w:r w:rsidRPr="00467E74">
              <w:rPr>
                <w:rFonts w:eastAsia="Times New Roman"/>
                <w:color w:val="000000"/>
                <w:sz w:val="22"/>
                <w:szCs w:val="22"/>
              </w:rPr>
              <w:t>24</w:t>
            </w:r>
          </w:p>
        </w:tc>
      </w:tr>
      <w:tr w:rsidR="00F63AB3" w:rsidRPr="00467E74" w14:paraId="608AE06E" w14:textId="77777777" w:rsidTr="00250466">
        <w:trPr>
          <w:trHeight w:val="308"/>
        </w:trPr>
        <w:tc>
          <w:tcPr>
            <w:tcW w:w="5517" w:type="dxa"/>
            <w:shd w:val="clear" w:color="auto" w:fill="D9E2F3" w:themeFill="accent5" w:themeFillTint="33"/>
            <w:noWrap/>
            <w:vAlign w:val="center"/>
            <w:hideMark/>
          </w:tcPr>
          <w:p w14:paraId="6597D5A9" w14:textId="77777777" w:rsidR="00F63AB3" w:rsidRPr="00467E74" w:rsidRDefault="00F63AB3" w:rsidP="001232D8">
            <w:pPr>
              <w:spacing w:before="40" w:after="40" w:line="276" w:lineRule="auto"/>
              <w:jc w:val="center"/>
              <w:rPr>
                <w:rFonts w:eastAsia="Times New Roman"/>
                <w:b/>
                <w:bCs/>
                <w:color w:val="000000"/>
                <w:sz w:val="22"/>
                <w:szCs w:val="22"/>
              </w:rPr>
            </w:pPr>
            <w:r w:rsidRPr="00467E74">
              <w:rPr>
                <w:rFonts w:eastAsia="Times New Roman"/>
                <w:b/>
                <w:bCs/>
                <w:color w:val="000000"/>
                <w:sz w:val="22"/>
                <w:szCs w:val="22"/>
              </w:rPr>
              <w:t> </w:t>
            </w:r>
          </w:p>
        </w:tc>
        <w:tc>
          <w:tcPr>
            <w:tcW w:w="1597" w:type="dxa"/>
            <w:shd w:val="clear" w:color="auto" w:fill="D9E2F3" w:themeFill="accent5" w:themeFillTint="33"/>
            <w:noWrap/>
            <w:vAlign w:val="center"/>
            <w:hideMark/>
          </w:tcPr>
          <w:p w14:paraId="0CECAAEF" w14:textId="77777777" w:rsidR="00F63AB3" w:rsidRPr="00467E74" w:rsidRDefault="00F63AB3" w:rsidP="001232D8">
            <w:pPr>
              <w:spacing w:before="60" w:after="60"/>
              <w:jc w:val="right"/>
              <w:rPr>
                <w:rFonts w:eastAsia="Times New Roman"/>
                <w:b/>
                <w:bCs/>
                <w:color w:val="000000"/>
                <w:sz w:val="22"/>
                <w:szCs w:val="22"/>
              </w:rPr>
            </w:pPr>
            <w:r w:rsidRPr="00467E74">
              <w:rPr>
                <w:rFonts w:eastAsia="Times New Roman"/>
                <w:b/>
                <w:bCs/>
                <w:color w:val="000000"/>
                <w:sz w:val="22"/>
                <w:szCs w:val="22"/>
              </w:rPr>
              <w:t>1479</w:t>
            </w:r>
          </w:p>
        </w:tc>
        <w:tc>
          <w:tcPr>
            <w:tcW w:w="1549" w:type="dxa"/>
            <w:shd w:val="clear" w:color="auto" w:fill="D9E2F3" w:themeFill="accent5" w:themeFillTint="33"/>
            <w:noWrap/>
            <w:vAlign w:val="center"/>
            <w:hideMark/>
          </w:tcPr>
          <w:p w14:paraId="6E6653EF" w14:textId="77777777" w:rsidR="00F63AB3" w:rsidRPr="00467E74" w:rsidRDefault="00F63AB3" w:rsidP="001232D8">
            <w:pPr>
              <w:spacing w:before="60" w:after="60"/>
              <w:jc w:val="right"/>
              <w:rPr>
                <w:rFonts w:eastAsia="Times New Roman"/>
                <w:b/>
                <w:bCs/>
                <w:color w:val="000000"/>
                <w:sz w:val="22"/>
                <w:szCs w:val="22"/>
              </w:rPr>
            </w:pPr>
            <w:r w:rsidRPr="00467E74">
              <w:rPr>
                <w:rFonts w:eastAsia="Times New Roman"/>
                <w:b/>
                <w:bCs/>
                <w:color w:val="000000"/>
                <w:sz w:val="22"/>
                <w:szCs w:val="22"/>
              </w:rPr>
              <w:t>444</w:t>
            </w:r>
          </w:p>
        </w:tc>
        <w:tc>
          <w:tcPr>
            <w:tcW w:w="1586" w:type="dxa"/>
            <w:shd w:val="clear" w:color="auto" w:fill="D9E2F3" w:themeFill="accent5" w:themeFillTint="33"/>
            <w:noWrap/>
            <w:vAlign w:val="center"/>
            <w:hideMark/>
          </w:tcPr>
          <w:p w14:paraId="66AEF21B" w14:textId="77777777" w:rsidR="00F63AB3" w:rsidRPr="00467E74" w:rsidRDefault="00F63AB3" w:rsidP="001232D8">
            <w:pPr>
              <w:spacing w:before="60" w:after="60"/>
              <w:jc w:val="right"/>
              <w:rPr>
                <w:rFonts w:eastAsia="Times New Roman"/>
                <w:b/>
                <w:bCs/>
                <w:color w:val="000000"/>
                <w:sz w:val="22"/>
                <w:szCs w:val="22"/>
              </w:rPr>
            </w:pPr>
            <w:r w:rsidRPr="00467E74">
              <w:rPr>
                <w:rFonts w:eastAsia="Times New Roman"/>
                <w:b/>
                <w:bCs/>
                <w:color w:val="000000"/>
                <w:sz w:val="22"/>
                <w:szCs w:val="22"/>
              </w:rPr>
              <w:t>373</w:t>
            </w:r>
          </w:p>
        </w:tc>
      </w:tr>
    </w:tbl>
    <w:p w14:paraId="0ECFFAC2" w14:textId="77777777" w:rsidR="00250466" w:rsidRDefault="00250466">
      <w:pPr>
        <w:rPr>
          <w:b/>
          <w:sz w:val="28"/>
        </w:rPr>
      </w:pPr>
      <w:r>
        <w:br w:type="page"/>
      </w:r>
    </w:p>
    <w:p w14:paraId="48962D38" w14:textId="08A3CBD9" w:rsidR="00535FCF" w:rsidRDefault="000142D8" w:rsidP="00535FCF">
      <w:pPr>
        <w:pStyle w:val="Heading2"/>
        <w:spacing w:before="360"/>
      </w:pPr>
      <w:bookmarkStart w:id="13" w:name="_Toc102116139"/>
      <w:r>
        <w:lastRenderedPageBreak/>
        <w:t>Communities of Practice:</w:t>
      </w:r>
      <w:bookmarkEnd w:id="13"/>
    </w:p>
    <w:p w14:paraId="146BEE59" w14:textId="0B354EF0" w:rsidR="00F50D15" w:rsidRDefault="00F50D15" w:rsidP="00535FCF">
      <w:pPr>
        <w:spacing w:before="120"/>
        <w:rPr>
          <w:b/>
          <w:bCs/>
          <w:u w:val="single"/>
        </w:rPr>
      </w:pPr>
      <w:r>
        <w:rPr>
          <w:b/>
          <w:bCs/>
          <w:u w:val="single"/>
        </w:rPr>
        <w:t>Monitoring CoP:</w:t>
      </w:r>
    </w:p>
    <w:p w14:paraId="19AA628A" w14:textId="3EF10512" w:rsidR="00F50D15" w:rsidRPr="00F50D15" w:rsidRDefault="008F5532" w:rsidP="00535FCF">
      <w:pPr>
        <w:spacing w:before="120"/>
      </w:pPr>
      <w:r>
        <w:t>The monitoring CoP began again in 2022 with the new round of states being monitored. The agencies meet monthly to support one another through the process and describe what works and what is a challenge.  There are detailed minutes of what the groups share with each other which are not included here so as not to violate anyone’s need for privacy when having the discussions. The participants share that this is a very beneficial process for them and that they appreciate being able to get together and act as support for one another.</w:t>
      </w:r>
    </w:p>
    <w:p w14:paraId="755E41C6" w14:textId="0BA37ACB" w:rsidR="00535FCF" w:rsidRPr="00535FCF" w:rsidRDefault="00535FCF" w:rsidP="00535FCF">
      <w:pPr>
        <w:spacing w:before="120"/>
        <w:rPr>
          <w:b/>
          <w:bCs/>
          <w:u w:val="single"/>
        </w:rPr>
      </w:pPr>
      <w:r w:rsidRPr="00535FCF">
        <w:rPr>
          <w:b/>
          <w:bCs/>
          <w:u w:val="single"/>
        </w:rPr>
        <w:t>Supported Employment CoP:</w:t>
      </w:r>
    </w:p>
    <w:p w14:paraId="0921B7C0" w14:textId="3D8012CE" w:rsidR="00535FCF" w:rsidRDefault="00535FCF" w:rsidP="00535FCF">
      <w:pPr>
        <w:spacing w:before="120"/>
      </w:pPr>
      <w:r>
        <w:t>There are three communities of practice that are ongoing which are detailed below. We will be starting a case review CoP in Q3.</w:t>
      </w:r>
    </w:p>
    <w:p w14:paraId="08722DF9" w14:textId="77777777" w:rsidR="00535FCF" w:rsidRPr="00CB5D2C" w:rsidRDefault="00535FCF" w:rsidP="00535FCF">
      <w:pPr>
        <w:rPr>
          <w:b/>
          <w:color w:val="000000" w:themeColor="text1"/>
        </w:rPr>
      </w:pPr>
      <w:r w:rsidRPr="00CB5D2C">
        <w:rPr>
          <w:b/>
          <w:color w:val="000000" w:themeColor="text1"/>
        </w:rPr>
        <w:t>Background:</w:t>
      </w:r>
    </w:p>
    <w:p w14:paraId="1F5A5691" w14:textId="77777777" w:rsidR="00535FCF" w:rsidRPr="00D028A9" w:rsidRDefault="00535FCF" w:rsidP="00535FCF">
      <w:pPr>
        <w:rPr>
          <w:bCs/>
          <w:color w:val="000000" w:themeColor="text1"/>
        </w:rPr>
      </w:pPr>
      <w:r w:rsidRPr="00D028A9">
        <w:rPr>
          <w:bCs/>
          <w:color w:val="000000" w:themeColor="text1"/>
        </w:rPr>
        <w:t xml:space="preserve">VRTAC-QM collaborated with George Washington University’s VR Center for Innovative Training (VR CIT) to help support the continuation of SE CoP meetings initially started under WINTAC in July 2017.  VR CIT will be the lead agency in setting up, facilitating and record keeping for these meetings while VRTAC-QM supports these calls especially in the system’s level work involved with SE.  In addition, staff from the VRTAC-QE and subject matter experts from Cornell University participate regularly in these calls as well.  </w:t>
      </w:r>
      <w:r w:rsidRPr="00D028A9">
        <w:rPr>
          <w:rFonts w:eastAsia="Arial"/>
          <w:lang w:val="en"/>
        </w:rPr>
        <w:t xml:space="preserve">The SE CoP group now includes 30 individuals from 19 SVRAs and are held </w:t>
      </w:r>
      <w:r w:rsidRPr="00D028A9">
        <w:rPr>
          <w:bCs/>
          <w:color w:val="000000" w:themeColor="text1"/>
        </w:rPr>
        <w:t xml:space="preserve">the third Wednesday every other month.   </w:t>
      </w:r>
    </w:p>
    <w:p w14:paraId="67B7B97D" w14:textId="77777777" w:rsidR="00535FCF" w:rsidRPr="00D028A9" w:rsidRDefault="00535FCF" w:rsidP="00535FCF">
      <w:pPr>
        <w:rPr>
          <w:color w:val="000000" w:themeColor="text1"/>
        </w:rPr>
      </w:pPr>
      <w:r w:rsidRPr="00D028A9">
        <w:rPr>
          <w:bCs/>
          <w:color w:val="000000" w:themeColor="text1"/>
        </w:rPr>
        <w:t xml:space="preserve">The </w:t>
      </w:r>
      <w:r w:rsidRPr="00D028A9">
        <w:rPr>
          <w:color w:val="000000" w:themeColor="text1"/>
        </w:rPr>
        <w:t xml:space="preserve">SE CoP is an </w:t>
      </w:r>
      <w:r w:rsidRPr="00D028A9">
        <w:rPr>
          <w:rFonts w:eastAsia="Arial"/>
          <w:lang w:val="en"/>
        </w:rPr>
        <w:t xml:space="preserve">online exchange between State VR agency staff working on SE.  The goal is to improve the delivery of SE services in their agencies </w:t>
      </w:r>
      <w:proofErr w:type="gramStart"/>
      <w:r w:rsidRPr="00D028A9">
        <w:rPr>
          <w:rFonts w:eastAsia="Arial"/>
          <w:lang w:val="en"/>
        </w:rPr>
        <w:t>in order to</w:t>
      </w:r>
      <w:proofErr w:type="gramEnd"/>
      <w:r w:rsidRPr="00D028A9">
        <w:rPr>
          <w:rFonts w:eastAsia="Arial"/>
          <w:lang w:val="en"/>
        </w:rPr>
        <w:t xml:space="preserve"> improve employment outcomes for those they serve.   This CoP community serves as a forum for an exchange of ideas and information to assist members identify challenges in delivering SE services for their consumers and to share innovative approaches to address those challenges that are in alignment with the amendments of the Rehabilitation Act of 1973 as amended by WIOA 2014, and related sub-regulatory guidance from RSA including sharing  </w:t>
      </w:r>
      <w:r w:rsidRPr="00D028A9">
        <w:rPr>
          <w:color w:val="000000" w:themeColor="text1"/>
        </w:rPr>
        <w:t xml:space="preserve">monitoring preparation and post monitoring follow up assistance in addressing questions coming related to SE.  </w:t>
      </w:r>
    </w:p>
    <w:p w14:paraId="0E53CED3" w14:textId="77777777" w:rsidR="00535FCF" w:rsidRPr="0017113E" w:rsidRDefault="00535FCF" w:rsidP="00535FCF">
      <w:r w:rsidRPr="0017113E">
        <w:rPr>
          <w:bCs/>
          <w:color w:val="000000" w:themeColor="text1"/>
        </w:rPr>
        <w:t xml:space="preserve">For this quarter, we met on March 16, 2022.  </w:t>
      </w:r>
      <w:r w:rsidRPr="0017113E">
        <w:t xml:space="preserve">Attendance included a total of 23 participants representing 13 SVRAs: LA-C, FL-G, AZ-C, CO-C, MS-C, MO-G, NE-G, MT-C, NJ-G, PA-C, KY-C, HI-C, and WA-G as well as representatives from CIT-VR, VRTAC-QM, VRTAC-QE, and the Yang Tan Institute at Cornell University.  </w:t>
      </w:r>
    </w:p>
    <w:p w14:paraId="40322309" w14:textId="77777777" w:rsidR="00535FCF" w:rsidRDefault="00535FCF" w:rsidP="00535FCF">
      <w:pPr>
        <w:spacing w:after="0" w:line="240" w:lineRule="auto"/>
        <w:rPr>
          <w:b/>
          <w:color w:val="000000" w:themeColor="text1"/>
        </w:rPr>
      </w:pPr>
      <w:r>
        <w:rPr>
          <w:b/>
          <w:color w:val="000000" w:themeColor="text1"/>
        </w:rPr>
        <w:t>Meeting Summary for the March 16</w:t>
      </w:r>
      <w:r w:rsidRPr="006D77FB">
        <w:rPr>
          <w:b/>
          <w:color w:val="000000" w:themeColor="text1"/>
          <w:vertAlign w:val="superscript"/>
        </w:rPr>
        <w:t>th</w:t>
      </w:r>
      <w:r>
        <w:rPr>
          <w:b/>
          <w:color w:val="000000" w:themeColor="text1"/>
        </w:rPr>
        <w:t xml:space="preserve"> SE CoP call: </w:t>
      </w:r>
    </w:p>
    <w:p w14:paraId="5E76D474" w14:textId="77777777" w:rsidR="00535FCF" w:rsidRPr="003A678E" w:rsidRDefault="00535FCF" w:rsidP="00535FCF">
      <w:pPr>
        <w:spacing w:before="120" w:after="0" w:line="240" w:lineRule="auto"/>
        <w:rPr>
          <w:rFonts w:eastAsia="Times New Roman"/>
        </w:rPr>
      </w:pPr>
      <w:proofErr w:type="gramStart"/>
      <w:r>
        <w:rPr>
          <w:bCs/>
          <w:color w:val="000000" w:themeColor="text1"/>
        </w:rPr>
        <w:t>The majority of</w:t>
      </w:r>
      <w:proofErr w:type="gramEnd"/>
      <w:r>
        <w:rPr>
          <w:bCs/>
          <w:color w:val="000000" w:themeColor="text1"/>
        </w:rPr>
        <w:t xml:space="preserve"> this call included an extensive round table discussion pertaining to what each state agency has in place for SE training requirements.  12 VR agencies shared what each of their strategies are and brainstormed possible future changes and improvements in this area.  Several states discussed how they’ve been building SE training opportunities in coordination with their UCED’s.  This discussion also included sharing how ACRE and CARF requirements relate to their requirements.  </w:t>
      </w:r>
    </w:p>
    <w:p w14:paraId="0FC14B39" w14:textId="77777777" w:rsidR="00535FCF" w:rsidRPr="00BF46F5" w:rsidRDefault="00535FCF" w:rsidP="00535FCF">
      <w:pPr>
        <w:spacing w:before="240" w:after="240" w:line="240" w:lineRule="auto"/>
        <w:rPr>
          <w:rFonts w:eastAsia="Times New Roman"/>
        </w:rPr>
      </w:pPr>
      <w:r>
        <w:rPr>
          <w:rFonts w:eastAsia="Times New Roman"/>
          <w:b/>
          <w:bCs/>
          <w:color w:val="000000"/>
        </w:rPr>
        <w:lastRenderedPageBreak/>
        <w:t>Group formed c</w:t>
      </w:r>
      <w:r w:rsidRPr="00BF46F5">
        <w:rPr>
          <w:rFonts w:eastAsia="Times New Roman"/>
          <w:b/>
          <w:bCs/>
          <w:color w:val="000000"/>
        </w:rPr>
        <w:t xml:space="preserve">onsensus on </w:t>
      </w:r>
      <w:r>
        <w:rPr>
          <w:rFonts w:eastAsia="Times New Roman"/>
          <w:b/>
          <w:bCs/>
          <w:color w:val="000000"/>
        </w:rPr>
        <w:t xml:space="preserve">addressing a variety of </w:t>
      </w:r>
      <w:r w:rsidRPr="00BF46F5">
        <w:rPr>
          <w:rFonts w:eastAsia="Times New Roman"/>
          <w:b/>
          <w:bCs/>
          <w:color w:val="000000"/>
        </w:rPr>
        <w:t>future agenda items:</w:t>
      </w:r>
    </w:p>
    <w:p w14:paraId="056F7E76" w14:textId="77777777" w:rsidR="00535FCF" w:rsidRPr="00BF46F5" w:rsidRDefault="00535FCF" w:rsidP="00615183">
      <w:pPr>
        <w:numPr>
          <w:ilvl w:val="0"/>
          <w:numId w:val="12"/>
        </w:numPr>
        <w:spacing w:before="240" w:after="0" w:line="240" w:lineRule="auto"/>
        <w:textAlignment w:val="baseline"/>
        <w:rPr>
          <w:rFonts w:eastAsia="Times New Roman"/>
          <w:color w:val="000000"/>
        </w:rPr>
      </w:pPr>
      <w:r w:rsidRPr="00BF46F5">
        <w:rPr>
          <w:rFonts w:eastAsia="Times New Roman"/>
          <w:color w:val="000000"/>
        </w:rPr>
        <w:t>Quality Assurance – Beyond training and accreditation, focus on quality performance.</w:t>
      </w:r>
    </w:p>
    <w:p w14:paraId="2153238D" w14:textId="77777777" w:rsidR="00535FCF" w:rsidRPr="00BF46F5" w:rsidRDefault="00535FCF" w:rsidP="00615183">
      <w:pPr>
        <w:numPr>
          <w:ilvl w:val="1"/>
          <w:numId w:val="12"/>
        </w:numPr>
        <w:spacing w:after="0" w:line="240" w:lineRule="auto"/>
        <w:textAlignment w:val="baseline"/>
        <w:rPr>
          <w:rFonts w:eastAsia="Times New Roman"/>
          <w:color w:val="000000"/>
        </w:rPr>
      </w:pPr>
      <w:r w:rsidRPr="00BF46F5">
        <w:rPr>
          <w:rFonts w:eastAsia="Times New Roman"/>
          <w:color w:val="000000"/>
        </w:rPr>
        <w:t xml:space="preserve">Discussion on systems of quality assurance that focuses on Employment Specialist performance at the service delivery level.   At the conclusion of our discussion on accreditation, this was a topical area that was touched </w:t>
      </w:r>
      <w:proofErr w:type="gramStart"/>
      <w:r w:rsidRPr="00BF46F5">
        <w:rPr>
          <w:rFonts w:eastAsia="Times New Roman"/>
          <w:color w:val="000000"/>
        </w:rPr>
        <w:t>upon</w:t>
      </w:r>
      <w:proofErr w:type="gramEnd"/>
      <w:r w:rsidRPr="00BF46F5">
        <w:rPr>
          <w:rFonts w:eastAsia="Times New Roman"/>
          <w:color w:val="000000"/>
        </w:rPr>
        <w:t xml:space="preserve"> and we would like to continue the discussion. </w:t>
      </w:r>
    </w:p>
    <w:p w14:paraId="0D8791EC" w14:textId="77777777" w:rsidR="00535FCF" w:rsidRPr="00BF46F5" w:rsidRDefault="00535FCF" w:rsidP="00615183">
      <w:pPr>
        <w:numPr>
          <w:ilvl w:val="0"/>
          <w:numId w:val="12"/>
        </w:numPr>
        <w:spacing w:after="0" w:line="240" w:lineRule="auto"/>
        <w:textAlignment w:val="baseline"/>
        <w:rPr>
          <w:rFonts w:eastAsia="Times New Roman"/>
          <w:color w:val="000000"/>
        </w:rPr>
      </w:pPr>
      <w:r w:rsidRPr="00BF46F5">
        <w:rPr>
          <w:rFonts w:eastAsia="Times New Roman"/>
          <w:color w:val="000000"/>
        </w:rPr>
        <w:t>Explaining what ACRE provides for certifying curriculum and APSE to certify practitioners (CESP)</w:t>
      </w:r>
    </w:p>
    <w:p w14:paraId="24F5B8F8" w14:textId="77777777" w:rsidR="00535FCF" w:rsidRPr="00BF46F5" w:rsidRDefault="00535FCF" w:rsidP="00615183">
      <w:pPr>
        <w:numPr>
          <w:ilvl w:val="0"/>
          <w:numId w:val="12"/>
        </w:numPr>
        <w:spacing w:after="0" w:line="240" w:lineRule="auto"/>
        <w:textAlignment w:val="baseline"/>
        <w:rPr>
          <w:rFonts w:eastAsia="Times New Roman"/>
          <w:color w:val="000000"/>
        </w:rPr>
      </w:pPr>
      <w:r w:rsidRPr="00BF46F5">
        <w:rPr>
          <w:rFonts w:eastAsia="Times New Roman"/>
          <w:color w:val="000000"/>
        </w:rPr>
        <w:t xml:space="preserve">Part 2” of SE training; dive further into how states are partnering with University/UCED </w:t>
      </w:r>
      <w:proofErr w:type="gramStart"/>
      <w:r w:rsidRPr="00BF46F5">
        <w:rPr>
          <w:rFonts w:eastAsia="Times New Roman"/>
          <w:color w:val="000000"/>
        </w:rPr>
        <w:t>system’s</w:t>
      </w:r>
      <w:proofErr w:type="gramEnd"/>
      <w:r w:rsidRPr="00BF46F5">
        <w:rPr>
          <w:rFonts w:eastAsia="Times New Roman"/>
          <w:color w:val="000000"/>
        </w:rPr>
        <w:t xml:space="preserve"> to provide SE training, how they developed/defined their SE training credentials and how states can share more in this community regarding SE training such as CO did with NJ regarding their “CIE job-site evaluation tool and training”</w:t>
      </w:r>
    </w:p>
    <w:p w14:paraId="01C5B859" w14:textId="77777777" w:rsidR="00535FCF" w:rsidRPr="00BF46F5" w:rsidRDefault="00535FCF" w:rsidP="00615183">
      <w:pPr>
        <w:numPr>
          <w:ilvl w:val="0"/>
          <w:numId w:val="12"/>
        </w:numPr>
        <w:spacing w:after="0" w:line="240" w:lineRule="auto"/>
        <w:textAlignment w:val="baseline"/>
        <w:rPr>
          <w:rFonts w:eastAsia="Times New Roman"/>
          <w:color w:val="000000"/>
        </w:rPr>
      </w:pPr>
      <w:r w:rsidRPr="00BF46F5">
        <w:rPr>
          <w:rFonts w:eastAsia="Times New Roman"/>
          <w:color w:val="000000"/>
        </w:rPr>
        <w:t>Related to above, consider having Darby share their “CIE Job-Site Evaluation” tool with this group if the SE CoP group is interested (probably ask this question at the next meeting and go from there so we can gauge interest first)</w:t>
      </w:r>
    </w:p>
    <w:p w14:paraId="193DCEEE" w14:textId="77777777" w:rsidR="00535FCF" w:rsidRPr="00BF46F5" w:rsidRDefault="00535FCF" w:rsidP="00615183">
      <w:pPr>
        <w:numPr>
          <w:ilvl w:val="0"/>
          <w:numId w:val="12"/>
        </w:numPr>
        <w:spacing w:after="0" w:line="240" w:lineRule="auto"/>
        <w:textAlignment w:val="baseline"/>
        <w:rPr>
          <w:rFonts w:eastAsia="Times New Roman"/>
          <w:color w:val="000000"/>
        </w:rPr>
      </w:pPr>
      <w:r w:rsidRPr="00BF46F5">
        <w:rPr>
          <w:rFonts w:eastAsia="Times New Roman"/>
          <w:color w:val="000000"/>
        </w:rPr>
        <w:t xml:space="preserve">Further sharing/discussion regarding how states are building their CRP </w:t>
      </w:r>
      <w:proofErr w:type="gramStart"/>
      <w:r w:rsidRPr="00BF46F5">
        <w:rPr>
          <w:rFonts w:eastAsia="Times New Roman"/>
          <w:color w:val="000000"/>
        </w:rPr>
        <w:t>capacity;</w:t>
      </w:r>
      <w:proofErr w:type="gramEnd"/>
      <w:r w:rsidRPr="00BF46F5">
        <w:rPr>
          <w:rFonts w:eastAsia="Times New Roman"/>
          <w:color w:val="000000"/>
        </w:rPr>
        <w:t xml:space="preserve"> i.e. concept of helping build it as a real profession with reasonable training expectations, pay, benefits, support, etc.</w:t>
      </w:r>
    </w:p>
    <w:p w14:paraId="73383476" w14:textId="77777777" w:rsidR="00535FCF" w:rsidRDefault="00535FCF" w:rsidP="00615183">
      <w:pPr>
        <w:numPr>
          <w:ilvl w:val="0"/>
          <w:numId w:val="12"/>
        </w:numPr>
        <w:spacing w:after="0" w:line="240" w:lineRule="auto"/>
        <w:textAlignment w:val="baseline"/>
        <w:rPr>
          <w:rFonts w:eastAsia="Times New Roman"/>
          <w:color w:val="000000"/>
        </w:rPr>
      </w:pPr>
      <w:r w:rsidRPr="00BF46F5">
        <w:rPr>
          <w:rFonts w:eastAsia="Times New Roman"/>
          <w:color w:val="000000"/>
        </w:rPr>
        <w:t>Strategies they feel help address the major provider turnover issue that’s prevalent across the county.  This is related to above but may have some separate strands such as the VR-Provider partnership aspects, etc.</w:t>
      </w:r>
    </w:p>
    <w:p w14:paraId="35393C06" w14:textId="402708A2" w:rsidR="00535FCF" w:rsidRPr="00F50D15" w:rsidRDefault="00F50D15" w:rsidP="00535FCF">
      <w:pPr>
        <w:spacing w:before="120"/>
        <w:rPr>
          <w:b/>
          <w:bCs/>
          <w:u w:val="single"/>
        </w:rPr>
      </w:pPr>
      <w:r w:rsidRPr="00F50D15">
        <w:rPr>
          <w:b/>
          <w:bCs/>
          <w:u w:val="single"/>
        </w:rPr>
        <w:t>Customized Employment CoP:</w:t>
      </w:r>
    </w:p>
    <w:p w14:paraId="27FA826B" w14:textId="77777777" w:rsidR="00F50D15" w:rsidRPr="003C173B" w:rsidRDefault="00F50D15" w:rsidP="00F50D15">
      <w:pPr>
        <w:spacing w:before="120" w:after="120"/>
        <w:rPr>
          <w:b/>
          <w:bCs/>
        </w:rPr>
      </w:pPr>
      <w:r>
        <w:rPr>
          <w:b/>
          <w:bCs/>
        </w:rPr>
        <w:t>Background</w:t>
      </w:r>
      <w:r w:rsidRPr="003C173B">
        <w:rPr>
          <w:b/>
          <w:bCs/>
        </w:rPr>
        <w:t>:</w:t>
      </w:r>
    </w:p>
    <w:p w14:paraId="5069FCB8" w14:textId="77777777" w:rsidR="00F50D15" w:rsidRPr="003C173B" w:rsidRDefault="00F50D15" w:rsidP="00F50D15">
      <w:pPr>
        <w:spacing w:before="120" w:after="120"/>
      </w:pPr>
      <w:r w:rsidRPr="003C173B">
        <w:t>The goal of the</w:t>
      </w:r>
      <w:r>
        <w:t xml:space="preserve"> monthly</w:t>
      </w:r>
      <w:r w:rsidRPr="003C173B">
        <w:t xml:space="preserve"> CE CoP meeting</w:t>
      </w:r>
      <w:r>
        <w:t xml:space="preserve">s is to </w:t>
      </w:r>
      <w:r w:rsidRPr="003C173B">
        <w:t xml:space="preserve">facilitate the exchange of information between state agencies that supports the improvement of Customized Employment (CE) delivery, </w:t>
      </w:r>
      <w:proofErr w:type="gramStart"/>
      <w:r w:rsidRPr="003C173B">
        <w:t>sustainability</w:t>
      </w:r>
      <w:proofErr w:type="gramEnd"/>
      <w:r w:rsidRPr="003C173B">
        <w:t xml:space="preserve"> and program evaluation. This CoP offers state agencies the opportunity to share information, progress, </w:t>
      </w:r>
      <w:proofErr w:type="gramStart"/>
      <w:r w:rsidRPr="003C173B">
        <w:t>challenges</w:t>
      </w:r>
      <w:proofErr w:type="gramEnd"/>
      <w:r w:rsidRPr="003C173B">
        <w:t xml:space="preserve"> and questions with other agencies who are implementing CE in their state.</w:t>
      </w:r>
      <w:r>
        <w:t xml:space="preserve">  </w:t>
      </w:r>
      <w:r w:rsidRPr="003C173B">
        <w:t>The CE CoP is lead jointly by VRTAC-QM and Cornell University</w:t>
      </w:r>
      <w:r>
        <w:t>.  The VRTAC-QE also participates regularly</w:t>
      </w:r>
      <w:r w:rsidRPr="003C173B">
        <w:t xml:space="preserve">. </w:t>
      </w:r>
    </w:p>
    <w:p w14:paraId="0D10F205" w14:textId="77777777" w:rsidR="00F50D15" w:rsidRPr="003C173B" w:rsidRDefault="00F50D15" w:rsidP="00F50D15">
      <w:pPr>
        <w:spacing w:before="120" w:after="120"/>
        <w:rPr>
          <w:b/>
          <w:bCs/>
        </w:rPr>
      </w:pPr>
      <w:r w:rsidRPr="003C173B">
        <w:rPr>
          <w:b/>
        </w:rPr>
        <w:t xml:space="preserve"> </w:t>
      </w:r>
      <w:r>
        <w:rPr>
          <w:b/>
          <w:bCs/>
        </w:rPr>
        <w:t>Meeting Summary:</w:t>
      </w:r>
    </w:p>
    <w:p w14:paraId="5E214EC1" w14:textId="77777777" w:rsidR="00F50D15" w:rsidRPr="003C173B" w:rsidRDefault="00F50D15" w:rsidP="00F50D15">
      <w:pPr>
        <w:spacing w:before="120" w:after="120"/>
      </w:pPr>
      <w:r>
        <w:t>T</w:t>
      </w:r>
      <w:r w:rsidRPr="003C173B">
        <w:t xml:space="preserve">he CE CoP met </w:t>
      </w:r>
      <w:r>
        <w:t xml:space="preserve">twice </w:t>
      </w:r>
      <w:r w:rsidRPr="003C173B">
        <w:t xml:space="preserve">this quarter on </w:t>
      </w:r>
      <w:r>
        <w:t>January 26</w:t>
      </w:r>
      <w:r w:rsidRPr="002C6991">
        <w:rPr>
          <w:vertAlign w:val="superscript"/>
        </w:rPr>
        <w:t>th</w:t>
      </w:r>
      <w:r>
        <w:t xml:space="preserve"> and February 23</w:t>
      </w:r>
      <w:r w:rsidRPr="002C6991">
        <w:rPr>
          <w:vertAlign w:val="superscript"/>
        </w:rPr>
        <w:t>rd</w:t>
      </w:r>
      <w:r>
        <w:t>.   Consensus from the group was to change meeting frequency so we begin meeting every other month starting on February 23</w:t>
      </w:r>
      <w:r w:rsidRPr="008B5714">
        <w:rPr>
          <w:vertAlign w:val="superscript"/>
        </w:rPr>
        <w:t>rd</w:t>
      </w:r>
      <w:r>
        <w:t xml:space="preserve">.  </w:t>
      </w:r>
    </w:p>
    <w:p w14:paraId="3ED73102" w14:textId="33D0525D" w:rsidR="00F50D15" w:rsidRDefault="00F50D15" w:rsidP="00F50D15">
      <w:pPr>
        <w:spacing w:before="120" w:after="120"/>
      </w:pPr>
      <w:r w:rsidRPr="003C173B">
        <w:t xml:space="preserve">The following </w:t>
      </w:r>
      <w:r>
        <w:t>S</w:t>
      </w:r>
      <w:r w:rsidRPr="003C173B">
        <w:t>tate VR agencies participated</w:t>
      </w:r>
      <w:r>
        <w:t xml:space="preserve"> this quarter</w:t>
      </w:r>
      <w:r w:rsidRPr="003C173B">
        <w:t xml:space="preserve">:  Arizona C., California G., Colorado C., </w:t>
      </w:r>
      <w:r>
        <w:t xml:space="preserve">Florida C., Idaho C., </w:t>
      </w:r>
      <w:r w:rsidRPr="003C173B">
        <w:t>Louisiana C., Kentucky C., Minnesota G., Missouri G., Montana C., New Jersey G.,</w:t>
      </w:r>
      <w:r>
        <w:t xml:space="preserve"> South Dakota C., Texas C., Virginia C., </w:t>
      </w:r>
      <w:r w:rsidRPr="003C173B">
        <w:t xml:space="preserve">and </w:t>
      </w:r>
      <w:r>
        <w:t>Washington G</w:t>
      </w:r>
      <w:r w:rsidRPr="003C173B">
        <w:t>., for a total of 1</w:t>
      </w:r>
      <w:r>
        <w:t>5</w:t>
      </w:r>
      <w:r w:rsidRPr="003C173B">
        <w:t xml:space="preserve"> VR agencies and </w:t>
      </w:r>
      <w:r>
        <w:t>20</w:t>
      </w:r>
      <w:r w:rsidRPr="003C173B">
        <w:t xml:space="preserve">VR staff.  In addition, we had </w:t>
      </w:r>
      <w:r>
        <w:t>support from</w:t>
      </w:r>
      <w:r w:rsidRPr="003C173B">
        <w:t xml:space="preserve"> </w:t>
      </w:r>
      <w:r>
        <w:t xml:space="preserve">the following four </w:t>
      </w:r>
      <w:r w:rsidRPr="003C173B">
        <w:t>TA centers</w:t>
      </w:r>
      <w:r>
        <w:t>:    VRTAC-QM, VRTAC-QE, Cornell University and NTACT.</w:t>
      </w:r>
    </w:p>
    <w:p w14:paraId="607FECF8" w14:textId="77777777" w:rsidR="00F50D15" w:rsidRPr="00C1413B" w:rsidRDefault="00F50D15" w:rsidP="00F50D15">
      <w:pPr>
        <w:spacing w:after="0"/>
      </w:pPr>
      <w:r w:rsidRPr="00C1413B">
        <w:t>January 26th and Feb 23</w:t>
      </w:r>
      <w:r w:rsidRPr="00C1413B">
        <w:rPr>
          <w:vertAlign w:val="superscript"/>
        </w:rPr>
        <w:t>rd</w:t>
      </w:r>
      <w:r w:rsidRPr="00C1413B">
        <w:t xml:space="preserve"> </w:t>
      </w:r>
      <w:r>
        <w:t>Agenda</w:t>
      </w:r>
      <w:r w:rsidRPr="00C1413B">
        <w:t xml:space="preserve"> Summary:  </w:t>
      </w:r>
    </w:p>
    <w:p w14:paraId="26B2DEBB" w14:textId="77777777" w:rsidR="00F50D15" w:rsidRDefault="00F50D15" w:rsidP="00615183">
      <w:pPr>
        <w:pStyle w:val="ListParagraph"/>
        <w:numPr>
          <w:ilvl w:val="0"/>
          <w:numId w:val="13"/>
        </w:numPr>
        <w:spacing w:after="0"/>
      </w:pPr>
      <w:r w:rsidRPr="00C1413B">
        <w:t>Updates from VRTAC-QM, VRTAC QE and Cornell University regarding TA support available</w:t>
      </w:r>
    </w:p>
    <w:p w14:paraId="37177058" w14:textId="77777777" w:rsidR="00F50D15" w:rsidRDefault="00F50D15" w:rsidP="00615183">
      <w:pPr>
        <w:pStyle w:val="ListParagraph"/>
        <w:numPr>
          <w:ilvl w:val="0"/>
          <w:numId w:val="13"/>
        </w:numPr>
        <w:spacing w:after="0"/>
      </w:pPr>
      <w:r w:rsidRPr="00C1413B">
        <w:lastRenderedPageBreak/>
        <w:t>State roundtable updates on a variety of topics including</w:t>
      </w:r>
      <w:r>
        <w:t>:</w:t>
      </w:r>
    </w:p>
    <w:p w14:paraId="193DB397" w14:textId="77777777" w:rsidR="00F50D15" w:rsidRPr="00C1413B" w:rsidRDefault="00F50D15" w:rsidP="00615183">
      <w:pPr>
        <w:pStyle w:val="ListParagraph"/>
        <w:numPr>
          <w:ilvl w:val="0"/>
          <w:numId w:val="14"/>
        </w:numPr>
        <w:spacing w:after="0"/>
        <w:ind w:left="1080"/>
      </w:pPr>
      <w:r>
        <w:rPr>
          <w:bCs/>
          <w:iCs/>
        </w:rPr>
        <w:t>M</w:t>
      </w:r>
      <w:r w:rsidRPr="00C1413B">
        <w:rPr>
          <w:bCs/>
          <w:iCs/>
        </w:rPr>
        <w:t xml:space="preserve">andated training </w:t>
      </w:r>
      <w:r>
        <w:rPr>
          <w:bCs/>
          <w:iCs/>
        </w:rPr>
        <w:t xml:space="preserve">requirements for </w:t>
      </w:r>
      <w:r w:rsidRPr="00C1413B">
        <w:rPr>
          <w:bCs/>
          <w:iCs/>
        </w:rPr>
        <w:t>VR staff on Customized Employment</w:t>
      </w:r>
    </w:p>
    <w:p w14:paraId="6F1F769A" w14:textId="77777777" w:rsidR="00F50D15" w:rsidRPr="00C1413B" w:rsidRDefault="00F50D15" w:rsidP="00615183">
      <w:pPr>
        <w:pStyle w:val="ListParagraph"/>
        <w:numPr>
          <w:ilvl w:val="0"/>
          <w:numId w:val="14"/>
        </w:numPr>
        <w:spacing w:after="0"/>
        <w:ind w:left="1080"/>
      </w:pPr>
      <w:r w:rsidRPr="00C1413B">
        <w:rPr>
          <w:bCs/>
          <w:iCs/>
        </w:rPr>
        <w:t>Training/certification requirements for CE providers</w:t>
      </w:r>
    </w:p>
    <w:p w14:paraId="2515EE7A" w14:textId="77777777" w:rsidR="00F50D15" w:rsidRPr="00C1413B" w:rsidRDefault="00F50D15" w:rsidP="00615183">
      <w:pPr>
        <w:pStyle w:val="ListParagraph"/>
        <w:numPr>
          <w:ilvl w:val="0"/>
          <w:numId w:val="14"/>
        </w:numPr>
        <w:spacing w:after="0"/>
        <w:ind w:left="1080"/>
      </w:pPr>
      <w:r w:rsidRPr="00C1413B">
        <w:rPr>
          <w:bCs/>
          <w:iCs/>
        </w:rPr>
        <w:t>Quality control/fidelity in achieving high quality CE service delivery</w:t>
      </w:r>
    </w:p>
    <w:p w14:paraId="556A93F6" w14:textId="77777777" w:rsidR="00F50D15" w:rsidRPr="00C1413B" w:rsidRDefault="00F50D15" w:rsidP="00615183">
      <w:pPr>
        <w:pStyle w:val="ListParagraph"/>
        <w:numPr>
          <w:ilvl w:val="0"/>
          <w:numId w:val="14"/>
        </w:numPr>
        <w:spacing w:after="0"/>
        <w:ind w:left="1080"/>
      </w:pPr>
      <w:r w:rsidRPr="00C1413B">
        <w:rPr>
          <w:bCs/>
          <w:iCs/>
        </w:rPr>
        <w:t>Provider capacity challenges in terms of turnover and cultivating high quality provider staff</w:t>
      </w:r>
    </w:p>
    <w:p w14:paraId="74BB35CE" w14:textId="77777777" w:rsidR="00F50D15" w:rsidRPr="00C1413B" w:rsidRDefault="00F50D15" w:rsidP="00615183">
      <w:pPr>
        <w:pStyle w:val="ListParagraph"/>
        <w:numPr>
          <w:ilvl w:val="0"/>
          <w:numId w:val="14"/>
        </w:numPr>
        <w:spacing w:after="0"/>
        <w:ind w:left="1080"/>
      </w:pPr>
      <w:r w:rsidRPr="00C1413B">
        <w:t xml:space="preserve">Developing more internal </w:t>
      </w:r>
      <w:r>
        <w:t xml:space="preserve">state capacity </w:t>
      </w:r>
      <w:r w:rsidRPr="00C1413B">
        <w:t xml:space="preserve">to deliver </w:t>
      </w:r>
      <w:r>
        <w:t>qu</w:t>
      </w:r>
      <w:r w:rsidRPr="00C1413B">
        <w:t>ality CE training and mentoring</w:t>
      </w:r>
    </w:p>
    <w:p w14:paraId="4D0C2030" w14:textId="77777777" w:rsidR="00F50D15" w:rsidRPr="00C1413B" w:rsidRDefault="00F50D15" w:rsidP="00615183">
      <w:pPr>
        <w:pStyle w:val="ListParagraph"/>
        <w:numPr>
          <w:ilvl w:val="0"/>
          <w:numId w:val="14"/>
        </w:numPr>
        <w:spacing w:after="0"/>
        <w:ind w:left="1080"/>
      </w:pPr>
      <w:r w:rsidRPr="00C1413B">
        <w:t>Utilizing provider CE CoP forums to help build provider quality and capacity</w:t>
      </w:r>
    </w:p>
    <w:p w14:paraId="653BB11E" w14:textId="77777777" w:rsidR="00F50D15" w:rsidRPr="00C1413B" w:rsidRDefault="00F50D15" w:rsidP="00615183">
      <w:pPr>
        <w:pStyle w:val="ListParagraph"/>
        <w:numPr>
          <w:ilvl w:val="0"/>
          <w:numId w:val="14"/>
        </w:numPr>
        <w:spacing w:after="0"/>
        <w:ind w:left="1080"/>
      </w:pPr>
      <w:r w:rsidRPr="00C1413B">
        <w:t>Developing specialized independent contractors to provide CE services</w:t>
      </w:r>
    </w:p>
    <w:p w14:paraId="3E06CA61" w14:textId="77777777" w:rsidR="00F50D15" w:rsidRPr="00C1413B" w:rsidRDefault="00F50D15" w:rsidP="00615183">
      <w:pPr>
        <w:pStyle w:val="ListParagraph"/>
        <w:numPr>
          <w:ilvl w:val="0"/>
          <w:numId w:val="14"/>
        </w:numPr>
        <w:spacing w:after="0"/>
        <w:ind w:left="1080"/>
      </w:pPr>
      <w:r w:rsidRPr="00C1413B">
        <w:t>Developing incentives within rate setting structure to help acquire and sustain high quality providers</w:t>
      </w:r>
    </w:p>
    <w:p w14:paraId="258EB618" w14:textId="77777777" w:rsidR="00F50D15" w:rsidRPr="00C1413B" w:rsidRDefault="00F50D15" w:rsidP="00615183">
      <w:pPr>
        <w:pStyle w:val="ListParagraph"/>
        <w:numPr>
          <w:ilvl w:val="0"/>
          <w:numId w:val="14"/>
        </w:numPr>
        <w:spacing w:after="0"/>
        <w:ind w:left="1080"/>
      </w:pPr>
      <w:r w:rsidRPr="00C1413B">
        <w:rPr>
          <w:bCs/>
          <w:iCs/>
        </w:rPr>
        <w:t>Growing capacity for providing CE and developing a sustainable plan</w:t>
      </w:r>
    </w:p>
    <w:p w14:paraId="6EEC7BCD" w14:textId="77777777" w:rsidR="00F50D15" w:rsidRPr="00C1413B" w:rsidRDefault="00F50D15" w:rsidP="00615183">
      <w:pPr>
        <w:pStyle w:val="ListParagraph"/>
        <w:numPr>
          <w:ilvl w:val="0"/>
          <w:numId w:val="14"/>
        </w:numPr>
        <w:spacing w:after="0"/>
        <w:ind w:left="1080"/>
      </w:pPr>
      <w:r>
        <w:rPr>
          <w:bCs/>
          <w:iCs/>
        </w:rPr>
        <w:t>P</w:t>
      </w:r>
      <w:r w:rsidRPr="00C1413B">
        <w:rPr>
          <w:bCs/>
          <w:iCs/>
        </w:rPr>
        <w:t>artnering with CILs to explore group discovery</w:t>
      </w:r>
    </w:p>
    <w:p w14:paraId="01565373" w14:textId="77777777" w:rsidR="00F50D15" w:rsidRPr="00C1413B" w:rsidRDefault="00F50D15" w:rsidP="00615183">
      <w:pPr>
        <w:pStyle w:val="ListParagraph"/>
        <w:numPr>
          <w:ilvl w:val="0"/>
          <w:numId w:val="14"/>
        </w:numPr>
        <w:spacing w:after="0"/>
        <w:ind w:left="1080"/>
      </w:pPr>
      <w:r w:rsidRPr="00C1413B">
        <w:rPr>
          <w:bCs/>
          <w:iCs/>
        </w:rPr>
        <w:t xml:space="preserve">Developing a tracking scale based on </w:t>
      </w:r>
      <w:r>
        <w:rPr>
          <w:bCs/>
          <w:iCs/>
        </w:rPr>
        <w:t xml:space="preserve">the </w:t>
      </w:r>
      <w:r w:rsidRPr="00C1413B">
        <w:rPr>
          <w:bCs/>
          <w:iCs/>
        </w:rPr>
        <w:t>Essential Elements of CE, to help ensure good Q/C for CE services</w:t>
      </w:r>
    </w:p>
    <w:p w14:paraId="67CC0C83" w14:textId="77777777" w:rsidR="00F50D15" w:rsidRPr="00C1413B" w:rsidRDefault="00F50D15" w:rsidP="00615183">
      <w:pPr>
        <w:pStyle w:val="ListParagraph"/>
        <w:numPr>
          <w:ilvl w:val="0"/>
          <w:numId w:val="14"/>
        </w:numPr>
        <w:spacing w:after="0"/>
        <w:ind w:left="1080"/>
      </w:pPr>
      <w:r w:rsidRPr="00C1413B">
        <w:t xml:space="preserve">Preliminary discussions about </w:t>
      </w:r>
      <w:r w:rsidRPr="00C1413B">
        <w:rPr>
          <w:bCs/>
          <w:iCs/>
        </w:rPr>
        <w:t xml:space="preserve">how </w:t>
      </w:r>
      <w:proofErr w:type="gramStart"/>
      <w:r w:rsidRPr="00C1413B">
        <w:rPr>
          <w:bCs/>
          <w:iCs/>
        </w:rPr>
        <w:t>Pre-ETS</w:t>
      </w:r>
      <w:proofErr w:type="gramEnd"/>
      <w:r w:rsidRPr="00C1413B">
        <w:rPr>
          <w:bCs/>
          <w:iCs/>
        </w:rPr>
        <w:t xml:space="preserve"> can interface with CE</w:t>
      </w:r>
    </w:p>
    <w:p w14:paraId="2BA4A936" w14:textId="55841E95" w:rsidR="009A787F" w:rsidRDefault="009A787F" w:rsidP="00535FCF">
      <w:pPr>
        <w:pStyle w:val="Heading2"/>
        <w:spacing w:before="360"/>
      </w:pPr>
      <w:bookmarkStart w:id="14" w:name="_Toc102116140"/>
      <w:r>
        <w:t>Distribution Lists:</w:t>
      </w:r>
      <w:bookmarkEnd w:id="14"/>
    </w:p>
    <w:p w14:paraId="66FC3530" w14:textId="186C1484" w:rsidR="009A787F" w:rsidRDefault="009A787F" w:rsidP="009A787F">
      <w:pPr>
        <w:pStyle w:val="Style1"/>
      </w:pPr>
      <w:r>
        <w:t xml:space="preserve">The distribution lists for the VRTAC-QM </w:t>
      </w:r>
      <w:r w:rsidR="00AD59AC">
        <w:t>lunched with the new website.  As of March 31</w:t>
      </w:r>
      <w:r w:rsidR="00AD59AC" w:rsidRPr="00AD59AC">
        <w:rPr>
          <w:vertAlign w:val="superscript"/>
        </w:rPr>
        <w:t>st</w:t>
      </w:r>
      <w:r w:rsidR="00AD59AC">
        <w:t xml:space="preserve">, </w:t>
      </w:r>
      <w:proofErr w:type="gramStart"/>
      <w:r w:rsidR="00AD59AC">
        <w:t>202</w:t>
      </w:r>
      <w:r w:rsidR="002868DC">
        <w:t>2</w:t>
      </w:r>
      <w:proofErr w:type="gramEnd"/>
      <w:r w:rsidR="00AD59AC">
        <w:t xml:space="preserve"> there were </w:t>
      </w:r>
      <w:r w:rsidR="002868DC">
        <w:t>1,732</w:t>
      </w:r>
      <w:r w:rsidR="00AD59AC">
        <w:t xml:space="preserve"> people registered for the following lists:</w:t>
      </w:r>
    </w:p>
    <w:p w14:paraId="09FF3FB7" w14:textId="6D249C4C" w:rsidR="00AD59AC" w:rsidRDefault="00AD59AC" w:rsidP="00615183">
      <w:pPr>
        <w:numPr>
          <w:ilvl w:val="0"/>
          <w:numId w:val="3"/>
        </w:numPr>
        <w:spacing w:after="0" w:line="240" w:lineRule="auto"/>
        <w:rPr>
          <w:rFonts w:eastAsia="Times New Roman"/>
        </w:rPr>
      </w:pPr>
      <w:r>
        <w:rPr>
          <w:rFonts w:eastAsia="Times New Roman"/>
        </w:rPr>
        <w:t xml:space="preserve">Program &amp; Performance QM: </w:t>
      </w:r>
      <w:r w:rsidR="002868DC">
        <w:rPr>
          <w:rFonts w:eastAsia="Times New Roman"/>
        </w:rPr>
        <w:t>1,706</w:t>
      </w:r>
    </w:p>
    <w:p w14:paraId="203BFA91" w14:textId="308D022D" w:rsidR="00AD59AC" w:rsidRDefault="00AD59AC" w:rsidP="00615183">
      <w:pPr>
        <w:numPr>
          <w:ilvl w:val="0"/>
          <w:numId w:val="3"/>
        </w:numPr>
        <w:spacing w:after="0" w:line="240" w:lineRule="auto"/>
        <w:rPr>
          <w:rFonts w:eastAsia="Times New Roman"/>
        </w:rPr>
      </w:pPr>
      <w:r>
        <w:rPr>
          <w:rFonts w:eastAsia="Times New Roman"/>
        </w:rPr>
        <w:t xml:space="preserve">Fiscal &amp; Resource QM: </w:t>
      </w:r>
      <w:r w:rsidR="002868DC">
        <w:rPr>
          <w:rFonts w:eastAsia="Times New Roman"/>
        </w:rPr>
        <w:t>1,654</w:t>
      </w:r>
    </w:p>
    <w:p w14:paraId="38085129" w14:textId="2C9947D9" w:rsidR="00AD59AC" w:rsidRDefault="00AD59AC" w:rsidP="00615183">
      <w:pPr>
        <w:numPr>
          <w:ilvl w:val="0"/>
          <w:numId w:val="3"/>
        </w:numPr>
        <w:spacing w:after="0" w:line="240" w:lineRule="auto"/>
        <w:rPr>
          <w:rFonts w:eastAsia="Times New Roman"/>
        </w:rPr>
      </w:pPr>
      <w:r>
        <w:rPr>
          <w:rFonts w:eastAsia="Times New Roman"/>
        </w:rPr>
        <w:t xml:space="preserve">General QM of Orgs: </w:t>
      </w:r>
      <w:r w:rsidR="002868DC">
        <w:rPr>
          <w:rFonts w:eastAsia="Times New Roman"/>
        </w:rPr>
        <w:t>1,669</w:t>
      </w:r>
    </w:p>
    <w:p w14:paraId="74915198" w14:textId="77777777" w:rsidR="00277D70" w:rsidRDefault="00277D70" w:rsidP="00277D70">
      <w:pPr>
        <w:pStyle w:val="Heading2"/>
        <w:spacing w:before="360" w:after="120"/>
      </w:pPr>
      <w:bookmarkStart w:id="15" w:name="_Toc102116141"/>
      <w:r>
        <w:t>Executive Leadership Seminar Series:</w:t>
      </w:r>
      <w:bookmarkEnd w:id="15"/>
    </w:p>
    <w:p w14:paraId="7F41373D" w14:textId="2CA6259E" w:rsidR="00794CA9" w:rsidRDefault="00794CA9" w:rsidP="00794CA9">
      <w:pPr>
        <w:spacing w:before="120" w:after="120" w:line="276" w:lineRule="auto"/>
      </w:pPr>
      <w:r>
        <w:t>The Executive Leadership Seminar Series began a new cohort this quarter, with 2</w:t>
      </w:r>
      <w:r w:rsidR="008716EA">
        <w:t>4</w:t>
      </w:r>
      <w:r>
        <w:t xml:space="preserve"> participants from several different SVRAs. The VRTAC-QM presented to the group on the WIOA performance indicators, using data to examine performance, make data-informed decisions, </w:t>
      </w:r>
      <w:r w:rsidR="008716EA">
        <w:t xml:space="preserve">fiscal management of the VR program </w:t>
      </w:r>
      <w:r>
        <w:t xml:space="preserve">and </w:t>
      </w:r>
      <w:r w:rsidR="008716EA">
        <w:t>the DSA-DSU relationship</w:t>
      </w:r>
      <w:r>
        <w:t xml:space="preserve">. </w:t>
      </w:r>
    </w:p>
    <w:p w14:paraId="02BA39F0" w14:textId="77777777" w:rsidR="00277D70" w:rsidRDefault="00277D70" w:rsidP="00277D70">
      <w:pPr>
        <w:pStyle w:val="Heading2"/>
        <w:spacing w:before="240" w:after="120"/>
      </w:pPr>
      <w:bookmarkStart w:id="16" w:name="_Toc102116142"/>
      <w:r>
        <w:t>Program Evaluation:</w:t>
      </w:r>
      <w:bookmarkEnd w:id="16"/>
    </w:p>
    <w:p w14:paraId="75CCD964" w14:textId="77777777" w:rsidR="008716EA" w:rsidRDefault="008716EA" w:rsidP="008716EA">
      <w:r>
        <w:t>Full program evaluation results will be included in the program evaluation report that will be delivered 30 days after the submission of this report.</w:t>
      </w:r>
    </w:p>
    <w:p w14:paraId="112B2E33" w14:textId="613EC624" w:rsidR="002C2CD0" w:rsidRDefault="000142D8" w:rsidP="002C2CD0">
      <w:pPr>
        <w:rPr>
          <w:b/>
          <w:sz w:val="28"/>
        </w:rPr>
      </w:pPr>
      <w:r>
        <w:rPr>
          <w:rFonts w:eastAsia="Times New Roman"/>
          <w:b/>
          <w:bCs/>
          <w:szCs w:val="28"/>
        </w:rPr>
        <w:br w:type="page"/>
      </w:r>
    </w:p>
    <w:p w14:paraId="409813D9" w14:textId="315ED849" w:rsidR="00D47436" w:rsidRDefault="00D47436" w:rsidP="00D47436">
      <w:pPr>
        <w:pStyle w:val="Heading1"/>
        <w:spacing w:before="240"/>
      </w:pPr>
      <w:bookmarkStart w:id="17" w:name="_Toc102116143"/>
      <w:r>
        <w:lastRenderedPageBreak/>
        <w:t>Universal TA</w:t>
      </w:r>
      <w:bookmarkEnd w:id="17"/>
    </w:p>
    <w:p w14:paraId="253E43F3" w14:textId="053BDFD5" w:rsidR="00D47436" w:rsidRDefault="00D47436" w:rsidP="00D47436">
      <w:pPr>
        <w:pStyle w:val="Style1"/>
      </w:pPr>
      <w:r>
        <w:t xml:space="preserve">Universal TA and training </w:t>
      </w:r>
      <w:proofErr w:type="gramStart"/>
      <w:r>
        <w:t>includes</w:t>
      </w:r>
      <w:proofErr w:type="gramEnd"/>
      <w:r>
        <w:t xml:space="preserve"> information on outreach activities, website development and analytics, and webinars or conference presentations that are intended for a general audience rather than a </w:t>
      </w:r>
      <w:r w:rsidR="00136837">
        <w:t xml:space="preserve">targeted to a specific VR agency.  </w:t>
      </w:r>
    </w:p>
    <w:p w14:paraId="60C18C21" w14:textId="02F47EA5" w:rsidR="00292209" w:rsidRPr="00D47436" w:rsidRDefault="007C279B" w:rsidP="00C055F6">
      <w:pPr>
        <w:pStyle w:val="Heading2"/>
        <w:spacing w:after="240"/>
      </w:pPr>
      <w:bookmarkStart w:id="18" w:name="_Toc102116144"/>
      <w:r>
        <w:t>Website Analytics</w:t>
      </w:r>
      <w:r w:rsidR="00C055F6">
        <w:t xml:space="preserve"> (1-1-22 to 3-31-22)</w:t>
      </w:r>
      <w:r w:rsidR="00222120">
        <w:t>:</w:t>
      </w:r>
      <w:bookmarkEnd w:id="18"/>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Website Traffice overview"/>
      </w:tblPr>
      <w:tblGrid>
        <w:gridCol w:w="6295"/>
        <w:gridCol w:w="1417"/>
        <w:gridCol w:w="1525"/>
      </w:tblGrid>
      <w:tr w:rsidR="007C279B" w:rsidRPr="002D4DAD" w14:paraId="6744A14B" w14:textId="77777777" w:rsidTr="001126BD">
        <w:trPr>
          <w:tblHeader/>
        </w:trPr>
        <w:tc>
          <w:tcPr>
            <w:tcW w:w="6295" w:type="dxa"/>
            <w:shd w:val="clear" w:color="auto" w:fill="D5DCE4" w:themeFill="text2" w:themeFillTint="33"/>
            <w:vAlign w:val="bottom"/>
          </w:tcPr>
          <w:p w14:paraId="0DD83831" w14:textId="77777777" w:rsidR="007C279B" w:rsidRPr="002D4DAD" w:rsidRDefault="007C279B" w:rsidP="001126BD">
            <w:pPr>
              <w:spacing w:before="60" w:after="60" w:line="276" w:lineRule="auto"/>
              <w:jc w:val="center"/>
              <w:rPr>
                <w:rFonts w:ascii="Times New Roman" w:eastAsia="Times New Roman" w:hAnsi="Times New Roman" w:cs="Times New Roman"/>
                <w:b/>
                <w:sz w:val="24"/>
                <w:szCs w:val="24"/>
              </w:rPr>
            </w:pPr>
            <w:r w:rsidRPr="002D4DAD">
              <w:rPr>
                <w:rFonts w:ascii="Times New Roman" w:eastAsia="Times New Roman" w:hAnsi="Times New Roman" w:cs="Times New Roman"/>
                <w:b/>
                <w:sz w:val="24"/>
                <w:szCs w:val="24"/>
              </w:rPr>
              <w:t>Overview</w:t>
            </w:r>
          </w:p>
        </w:tc>
        <w:tc>
          <w:tcPr>
            <w:tcW w:w="1417" w:type="dxa"/>
            <w:shd w:val="clear" w:color="auto" w:fill="D5DCE4" w:themeFill="text2" w:themeFillTint="33"/>
            <w:vAlign w:val="bottom"/>
          </w:tcPr>
          <w:p w14:paraId="3AF0684C" w14:textId="77777777" w:rsidR="007C279B" w:rsidRPr="002D4DAD" w:rsidRDefault="007C279B" w:rsidP="001126BD">
            <w:pPr>
              <w:spacing w:before="60" w:after="60" w:line="276" w:lineRule="auto"/>
              <w:jc w:val="center"/>
              <w:rPr>
                <w:rFonts w:ascii="Times New Roman" w:eastAsia="Times New Roman" w:hAnsi="Times New Roman" w:cs="Times New Roman"/>
                <w:b/>
                <w:bCs/>
                <w:sz w:val="24"/>
                <w:szCs w:val="24"/>
              </w:rPr>
            </w:pPr>
            <w:r w:rsidRPr="002D4DAD">
              <w:rPr>
                <w:rFonts w:ascii="Times New Roman" w:eastAsia="Times New Roman" w:hAnsi="Times New Roman" w:cs="Times New Roman"/>
                <w:b/>
                <w:bCs/>
                <w:sz w:val="24"/>
                <w:szCs w:val="24"/>
              </w:rPr>
              <w:t>Counts</w:t>
            </w:r>
          </w:p>
        </w:tc>
        <w:tc>
          <w:tcPr>
            <w:tcW w:w="1525" w:type="dxa"/>
            <w:shd w:val="clear" w:color="auto" w:fill="D5DCE4" w:themeFill="text2" w:themeFillTint="33"/>
            <w:vAlign w:val="bottom"/>
          </w:tcPr>
          <w:p w14:paraId="33DE03CD" w14:textId="77777777" w:rsidR="007C279B" w:rsidRPr="002D4DAD" w:rsidRDefault="007C279B" w:rsidP="001126BD">
            <w:pPr>
              <w:spacing w:before="60" w:after="60" w:line="276" w:lineRule="auto"/>
              <w:jc w:val="center"/>
              <w:rPr>
                <w:rFonts w:ascii="Times New Roman" w:eastAsia="Times New Roman" w:hAnsi="Times New Roman" w:cs="Times New Roman"/>
                <w:b/>
                <w:sz w:val="24"/>
                <w:szCs w:val="24"/>
              </w:rPr>
            </w:pPr>
            <w:r w:rsidRPr="002D4DAD">
              <w:rPr>
                <w:rFonts w:ascii="Times New Roman" w:eastAsia="Times New Roman" w:hAnsi="Times New Roman" w:cs="Times New Roman"/>
                <w:b/>
                <w:sz w:val="24"/>
                <w:szCs w:val="24"/>
              </w:rPr>
              <w:t>Quarterly Difference</w:t>
            </w:r>
          </w:p>
        </w:tc>
      </w:tr>
      <w:tr w:rsidR="00C055F6" w:rsidRPr="002D4DAD" w14:paraId="1C47B488" w14:textId="77777777" w:rsidTr="00076D73">
        <w:tc>
          <w:tcPr>
            <w:tcW w:w="6295" w:type="dxa"/>
          </w:tcPr>
          <w:p w14:paraId="4EECA192" w14:textId="77777777" w:rsidR="00C055F6" w:rsidRPr="002D4DAD" w:rsidRDefault="00C055F6" w:rsidP="00C055F6">
            <w:pPr>
              <w:tabs>
                <w:tab w:val="left" w:pos="404"/>
              </w:tabs>
              <w:spacing w:before="20" w:after="20" w:line="276" w:lineRule="auto"/>
              <w:ind w:left="44"/>
              <w:rPr>
                <w:rFonts w:ascii="Times New Roman" w:eastAsia="Times New Roman" w:hAnsi="Times New Roman" w:cs="Times New Roman"/>
                <w:sz w:val="24"/>
                <w:szCs w:val="24"/>
              </w:rPr>
            </w:pPr>
            <w:r w:rsidRPr="002D4DAD">
              <w:rPr>
                <w:rFonts w:ascii="Times New Roman" w:eastAsia="Times New Roman" w:hAnsi="Times New Roman" w:cs="Times New Roman"/>
                <w:sz w:val="24"/>
                <w:szCs w:val="24"/>
              </w:rPr>
              <w:t>Unique visitors</w:t>
            </w:r>
          </w:p>
        </w:tc>
        <w:tc>
          <w:tcPr>
            <w:tcW w:w="1417" w:type="dxa"/>
            <w:vAlign w:val="bottom"/>
          </w:tcPr>
          <w:p w14:paraId="66FF4A62" w14:textId="561D8940" w:rsidR="00C055F6" w:rsidRPr="002D4DAD" w:rsidRDefault="00C055F6" w:rsidP="00C055F6">
            <w:pPr>
              <w:spacing w:before="20" w:after="20" w:line="276" w:lineRule="auto"/>
              <w:jc w:val="right"/>
              <w:rPr>
                <w:rFonts w:ascii="Times New Roman" w:eastAsia="Times New Roman" w:hAnsi="Times New Roman" w:cs="Times New Roman"/>
                <w:b/>
                <w:bCs/>
                <w:sz w:val="24"/>
                <w:szCs w:val="24"/>
              </w:rPr>
            </w:pPr>
            <w:r w:rsidRPr="00CE035A">
              <w:rPr>
                <w:rFonts w:ascii="Lato" w:eastAsia="Times New Roman" w:hAnsi="Lato" w:cs="Calibri"/>
                <w:sz w:val="21"/>
                <w:szCs w:val="21"/>
              </w:rPr>
              <w:t xml:space="preserve"> 2,446 </w:t>
            </w:r>
          </w:p>
        </w:tc>
        <w:tc>
          <w:tcPr>
            <w:tcW w:w="1525" w:type="dxa"/>
            <w:vAlign w:val="bottom"/>
          </w:tcPr>
          <w:p w14:paraId="6AD58477" w14:textId="6CAE5B5B" w:rsidR="00C055F6" w:rsidRPr="002D4DAD" w:rsidRDefault="00C055F6" w:rsidP="00C055F6">
            <w:pPr>
              <w:spacing w:before="20" w:after="20" w:line="276" w:lineRule="auto"/>
              <w:jc w:val="right"/>
              <w:rPr>
                <w:rFonts w:ascii="Times New Roman" w:eastAsia="Times New Roman" w:hAnsi="Times New Roman" w:cs="Times New Roman"/>
                <w:sz w:val="24"/>
                <w:szCs w:val="24"/>
              </w:rPr>
            </w:pPr>
            <w:r w:rsidRPr="00CE035A">
              <w:rPr>
                <w:rFonts w:ascii="Lato" w:eastAsia="Times New Roman" w:hAnsi="Lato" w:cs="Calibri"/>
                <w:sz w:val="21"/>
                <w:szCs w:val="21"/>
              </w:rPr>
              <w:t>491</w:t>
            </w:r>
          </w:p>
        </w:tc>
      </w:tr>
      <w:tr w:rsidR="00C055F6" w:rsidRPr="002D4DAD" w14:paraId="2D10B35F" w14:textId="77777777" w:rsidTr="00076D73">
        <w:tc>
          <w:tcPr>
            <w:tcW w:w="6295" w:type="dxa"/>
          </w:tcPr>
          <w:p w14:paraId="05E57D15" w14:textId="77777777" w:rsidR="00C055F6" w:rsidRPr="002D4DAD" w:rsidRDefault="00C055F6" w:rsidP="00C055F6">
            <w:pPr>
              <w:tabs>
                <w:tab w:val="left" w:pos="404"/>
              </w:tabs>
              <w:spacing w:before="20" w:after="20" w:line="276" w:lineRule="auto"/>
              <w:ind w:left="44"/>
              <w:rPr>
                <w:rFonts w:ascii="Times New Roman" w:eastAsia="Times New Roman" w:hAnsi="Times New Roman" w:cs="Times New Roman"/>
                <w:sz w:val="24"/>
                <w:szCs w:val="24"/>
              </w:rPr>
            </w:pPr>
            <w:r w:rsidRPr="002D4DAD">
              <w:rPr>
                <w:rFonts w:ascii="Times New Roman" w:eastAsia="Times New Roman" w:hAnsi="Times New Roman" w:cs="Times New Roman"/>
                <w:sz w:val="24"/>
                <w:szCs w:val="24"/>
              </w:rPr>
              <w:t>Page views</w:t>
            </w:r>
          </w:p>
        </w:tc>
        <w:tc>
          <w:tcPr>
            <w:tcW w:w="1417" w:type="dxa"/>
            <w:vAlign w:val="bottom"/>
          </w:tcPr>
          <w:p w14:paraId="4FFC4088" w14:textId="5A49EEAD" w:rsidR="00C055F6" w:rsidRPr="002D4DAD" w:rsidRDefault="00C055F6" w:rsidP="00C055F6">
            <w:pPr>
              <w:spacing w:before="20" w:after="20" w:line="276" w:lineRule="auto"/>
              <w:jc w:val="right"/>
              <w:rPr>
                <w:rFonts w:ascii="Times New Roman" w:eastAsia="Times New Roman" w:hAnsi="Times New Roman" w:cs="Times New Roman"/>
                <w:b/>
                <w:bCs/>
                <w:sz w:val="24"/>
                <w:szCs w:val="24"/>
              </w:rPr>
            </w:pPr>
            <w:r w:rsidRPr="00CE035A">
              <w:rPr>
                <w:rFonts w:ascii="Lato" w:eastAsia="Times New Roman" w:hAnsi="Lato" w:cs="Calibri"/>
                <w:sz w:val="21"/>
                <w:szCs w:val="21"/>
              </w:rPr>
              <w:t xml:space="preserve"> 11,796 </w:t>
            </w:r>
          </w:p>
        </w:tc>
        <w:tc>
          <w:tcPr>
            <w:tcW w:w="1525" w:type="dxa"/>
            <w:vAlign w:val="bottom"/>
          </w:tcPr>
          <w:p w14:paraId="1B447A33" w14:textId="4576F132" w:rsidR="00C055F6" w:rsidRPr="002D4DAD" w:rsidRDefault="00C055F6" w:rsidP="00C055F6">
            <w:pPr>
              <w:spacing w:before="20" w:after="20" w:line="276" w:lineRule="auto"/>
              <w:jc w:val="right"/>
              <w:rPr>
                <w:rFonts w:ascii="Times New Roman" w:eastAsia="Times New Roman" w:hAnsi="Times New Roman" w:cs="Times New Roman"/>
                <w:sz w:val="24"/>
                <w:szCs w:val="24"/>
              </w:rPr>
            </w:pPr>
            <w:r w:rsidRPr="00CE035A">
              <w:rPr>
                <w:rFonts w:ascii="Lato" w:eastAsia="Times New Roman" w:hAnsi="Lato" w:cs="Calibri"/>
                <w:sz w:val="21"/>
                <w:szCs w:val="21"/>
              </w:rPr>
              <w:t>2544</w:t>
            </w:r>
          </w:p>
        </w:tc>
      </w:tr>
      <w:tr w:rsidR="00C055F6" w:rsidRPr="002D4DAD" w14:paraId="34846962" w14:textId="77777777" w:rsidTr="00076D73">
        <w:tc>
          <w:tcPr>
            <w:tcW w:w="6295" w:type="dxa"/>
          </w:tcPr>
          <w:p w14:paraId="74BE09DE" w14:textId="77777777" w:rsidR="00C055F6" w:rsidRPr="002D4DAD" w:rsidRDefault="00C055F6" w:rsidP="00C055F6">
            <w:pPr>
              <w:tabs>
                <w:tab w:val="left" w:pos="404"/>
              </w:tabs>
              <w:spacing w:before="20" w:after="20" w:line="276" w:lineRule="auto"/>
              <w:ind w:left="44"/>
              <w:rPr>
                <w:rFonts w:ascii="Times New Roman" w:eastAsia="Times New Roman" w:hAnsi="Times New Roman" w:cs="Times New Roman"/>
                <w:sz w:val="24"/>
                <w:szCs w:val="24"/>
              </w:rPr>
            </w:pPr>
            <w:r w:rsidRPr="002D4DAD">
              <w:rPr>
                <w:rFonts w:ascii="Times New Roman" w:eastAsia="Times New Roman" w:hAnsi="Times New Roman" w:cs="Times New Roman"/>
                <w:sz w:val="24"/>
                <w:szCs w:val="24"/>
              </w:rPr>
              <w:t>Visits</w:t>
            </w:r>
          </w:p>
        </w:tc>
        <w:tc>
          <w:tcPr>
            <w:tcW w:w="1417" w:type="dxa"/>
            <w:vAlign w:val="bottom"/>
          </w:tcPr>
          <w:p w14:paraId="398D78FE" w14:textId="1DF3FE81" w:rsidR="00C055F6" w:rsidRPr="002D4DAD" w:rsidRDefault="00C055F6" w:rsidP="00C055F6">
            <w:pPr>
              <w:spacing w:before="20" w:after="20" w:line="276" w:lineRule="auto"/>
              <w:jc w:val="right"/>
              <w:rPr>
                <w:rFonts w:ascii="Times New Roman" w:eastAsia="Times New Roman" w:hAnsi="Times New Roman" w:cs="Times New Roman"/>
                <w:b/>
                <w:bCs/>
                <w:sz w:val="24"/>
                <w:szCs w:val="24"/>
              </w:rPr>
            </w:pPr>
            <w:r w:rsidRPr="00CE035A">
              <w:rPr>
                <w:rFonts w:ascii="Lato" w:eastAsia="Times New Roman" w:hAnsi="Lato" w:cs="Calibri"/>
                <w:sz w:val="21"/>
                <w:szCs w:val="21"/>
              </w:rPr>
              <w:t xml:space="preserve"> 4,634 </w:t>
            </w:r>
          </w:p>
        </w:tc>
        <w:tc>
          <w:tcPr>
            <w:tcW w:w="1525" w:type="dxa"/>
            <w:vAlign w:val="bottom"/>
          </w:tcPr>
          <w:p w14:paraId="03677F1F" w14:textId="64BC7AF5" w:rsidR="00C055F6" w:rsidRPr="002D4DAD" w:rsidRDefault="00C055F6" w:rsidP="00C055F6">
            <w:pPr>
              <w:spacing w:before="20" w:after="20" w:line="276" w:lineRule="auto"/>
              <w:jc w:val="right"/>
              <w:rPr>
                <w:rFonts w:ascii="Times New Roman" w:eastAsia="Times New Roman" w:hAnsi="Times New Roman" w:cs="Times New Roman"/>
                <w:sz w:val="24"/>
                <w:szCs w:val="24"/>
              </w:rPr>
            </w:pPr>
            <w:r w:rsidRPr="00CE035A">
              <w:rPr>
                <w:rFonts w:ascii="Lato" w:eastAsia="Times New Roman" w:hAnsi="Lato" w:cs="Calibri"/>
                <w:sz w:val="21"/>
                <w:szCs w:val="21"/>
              </w:rPr>
              <w:t>1212</w:t>
            </w:r>
          </w:p>
        </w:tc>
      </w:tr>
      <w:tr w:rsidR="00C055F6" w:rsidRPr="002D4DAD" w14:paraId="04784199" w14:textId="77777777" w:rsidTr="00076D73">
        <w:tc>
          <w:tcPr>
            <w:tcW w:w="6295" w:type="dxa"/>
          </w:tcPr>
          <w:p w14:paraId="56CB9304" w14:textId="77777777" w:rsidR="00C055F6" w:rsidRPr="002D4DAD" w:rsidRDefault="00C055F6" w:rsidP="00C055F6">
            <w:pPr>
              <w:tabs>
                <w:tab w:val="left" w:pos="404"/>
              </w:tabs>
              <w:spacing w:before="20" w:after="20" w:line="276" w:lineRule="auto"/>
              <w:ind w:left="44"/>
              <w:rPr>
                <w:rFonts w:ascii="Times New Roman" w:eastAsia="Times New Roman" w:hAnsi="Times New Roman" w:cs="Times New Roman"/>
                <w:sz w:val="24"/>
                <w:szCs w:val="24"/>
              </w:rPr>
            </w:pPr>
            <w:r w:rsidRPr="002D4DAD">
              <w:rPr>
                <w:rFonts w:ascii="Times New Roman" w:eastAsia="Times New Roman" w:hAnsi="Times New Roman" w:cs="Times New Roman"/>
                <w:sz w:val="24"/>
                <w:szCs w:val="24"/>
              </w:rPr>
              <w:t>Returning Visitors</w:t>
            </w:r>
          </w:p>
        </w:tc>
        <w:tc>
          <w:tcPr>
            <w:tcW w:w="1417" w:type="dxa"/>
            <w:vAlign w:val="bottom"/>
          </w:tcPr>
          <w:p w14:paraId="5AD3E60E" w14:textId="209E5077" w:rsidR="00C055F6" w:rsidRPr="002D4DAD" w:rsidRDefault="00C055F6" w:rsidP="00C055F6">
            <w:pPr>
              <w:spacing w:before="20" w:after="20" w:line="276" w:lineRule="auto"/>
              <w:jc w:val="right"/>
              <w:rPr>
                <w:rFonts w:ascii="Times New Roman" w:eastAsia="Times New Roman" w:hAnsi="Times New Roman" w:cs="Times New Roman"/>
                <w:b/>
                <w:bCs/>
                <w:sz w:val="24"/>
                <w:szCs w:val="24"/>
              </w:rPr>
            </w:pPr>
            <w:r w:rsidRPr="00CE035A">
              <w:rPr>
                <w:rFonts w:ascii="Lato" w:eastAsia="Times New Roman" w:hAnsi="Lato" w:cs="Calibri"/>
                <w:sz w:val="21"/>
                <w:szCs w:val="21"/>
              </w:rPr>
              <w:t>9.8%</w:t>
            </w:r>
          </w:p>
        </w:tc>
        <w:tc>
          <w:tcPr>
            <w:tcW w:w="1525" w:type="dxa"/>
            <w:vAlign w:val="bottom"/>
          </w:tcPr>
          <w:p w14:paraId="0E2D8C9E" w14:textId="2B3F2441" w:rsidR="00C055F6" w:rsidRPr="002D4DAD" w:rsidRDefault="00C055F6" w:rsidP="00C055F6">
            <w:pPr>
              <w:spacing w:before="20" w:after="20" w:line="276" w:lineRule="auto"/>
              <w:jc w:val="right"/>
              <w:rPr>
                <w:rFonts w:ascii="Times New Roman" w:eastAsia="Times New Roman" w:hAnsi="Times New Roman" w:cs="Times New Roman"/>
                <w:sz w:val="24"/>
                <w:szCs w:val="24"/>
              </w:rPr>
            </w:pPr>
            <w:r w:rsidRPr="00CE035A">
              <w:rPr>
                <w:rFonts w:ascii="Lato" w:eastAsia="Times New Roman" w:hAnsi="Lato" w:cs="Calibri"/>
                <w:sz w:val="21"/>
                <w:szCs w:val="21"/>
              </w:rPr>
              <w:t>-15%</w:t>
            </w:r>
          </w:p>
        </w:tc>
      </w:tr>
      <w:tr w:rsidR="00C055F6" w:rsidRPr="002D4DAD" w14:paraId="549121D2" w14:textId="77777777" w:rsidTr="00076D73">
        <w:tc>
          <w:tcPr>
            <w:tcW w:w="6295" w:type="dxa"/>
          </w:tcPr>
          <w:p w14:paraId="147946E7" w14:textId="77777777" w:rsidR="00C055F6" w:rsidRPr="002D4DAD" w:rsidRDefault="00C055F6" w:rsidP="00C055F6">
            <w:pPr>
              <w:tabs>
                <w:tab w:val="left" w:pos="404"/>
              </w:tabs>
              <w:spacing w:before="20" w:after="20" w:line="276" w:lineRule="auto"/>
              <w:ind w:left="44"/>
              <w:rPr>
                <w:rFonts w:ascii="Times New Roman" w:hAnsi="Times New Roman" w:cs="Times New Roman"/>
                <w:sz w:val="24"/>
                <w:szCs w:val="24"/>
              </w:rPr>
            </w:pPr>
            <w:r w:rsidRPr="002D4DAD">
              <w:rPr>
                <w:rFonts w:ascii="Times New Roman" w:hAnsi="Times New Roman" w:cs="Times New Roman"/>
                <w:sz w:val="24"/>
                <w:szCs w:val="24"/>
              </w:rPr>
              <w:t>New Visitors</w:t>
            </w:r>
          </w:p>
        </w:tc>
        <w:tc>
          <w:tcPr>
            <w:tcW w:w="1417" w:type="dxa"/>
            <w:vAlign w:val="bottom"/>
          </w:tcPr>
          <w:p w14:paraId="0BA1C7DD" w14:textId="3923E6FD" w:rsidR="00C055F6" w:rsidRPr="002D4DAD" w:rsidRDefault="00C055F6" w:rsidP="00C055F6">
            <w:pPr>
              <w:spacing w:before="20" w:after="20" w:line="276" w:lineRule="auto"/>
              <w:jc w:val="right"/>
              <w:rPr>
                <w:rFonts w:ascii="Times New Roman" w:eastAsia="Times New Roman" w:hAnsi="Times New Roman" w:cs="Times New Roman"/>
                <w:b/>
                <w:bCs/>
                <w:sz w:val="24"/>
                <w:szCs w:val="24"/>
              </w:rPr>
            </w:pPr>
            <w:r w:rsidRPr="00CE035A">
              <w:rPr>
                <w:rFonts w:ascii="Lato" w:eastAsia="Times New Roman" w:hAnsi="Lato" w:cs="Calibri"/>
                <w:sz w:val="21"/>
                <w:szCs w:val="21"/>
              </w:rPr>
              <w:t>90.2%</w:t>
            </w:r>
          </w:p>
        </w:tc>
        <w:tc>
          <w:tcPr>
            <w:tcW w:w="1525" w:type="dxa"/>
            <w:vAlign w:val="bottom"/>
          </w:tcPr>
          <w:p w14:paraId="587D28C0" w14:textId="7C14553B" w:rsidR="00C055F6" w:rsidRPr="002D4DAD" w:rsidRDefault="00C055F6" w:rsidP="00C055F6">
            <w:pPr>
              <w:spacing w:before="20" w:after="20" w:line="276" w:lineRule="auto"/>
              <w:jc w:val="right"/>
              <w:rPr>
                <w:rFonts w:ascii="Times New Roman" w:eastAsia="Times New Roman" w:hAnsi="Times New Roman" w:cs="Times New Roman"/>
                <w:sz w:val="24"/>
                <w:szCs w:val="24"/>
              </w:rPr>
            </w:pPr>
            <w:r w:rsidRPr="00CE035A">
              <w:rPr>
                <w:rFonts w:ascii="Lato" w:eastAsia="Times New Roman" w:hAnsi="Lato" w:cs="Calibri"/>
                <w:sz w:val="21"/>
                <w:szCs w:val="21"/>
              </w:rPr>
              <w:t>15%</w:t>
            </w:r>
          </w:p>
        </w:tc>
      </w:tr>
      <w:tr w:rsidR="00C055F6" w:rsidRPr="002D4DAD" w14:paraId="79C29A8F" w14:textId="77777777" w:rsidTr="00076D73">
        <w:tc>
          <w:tcPr>
            <w:tcW w:w="6295" w:type="dxa"/>
          </w:tcPr>
          <w:p w14:paraId="5ECB477C" w14:textId="77777777" w:rsidR="00C055F6" w:rsidRPr="002D4DAD" w:rsidRDefault="00C055F6" w:rsidP="00C055F6">
            <w:pPr>
              <w:tabs>
                <w:tab w:val="left" w:pos="404"/>
              </w:tabs>
              <w:spacing w:before="20" w:after="20" w:line="276" w:lineRule="auto"/>
              <w:ind w:left="44"/>
              <w:rPr>
                <w:rFonts w:ascii="Times New Roman" w:hAnsi="Times New Roman" w:cs="Times New Roman"/>
                <w:sz w:val="24"/>
                <w:szCs w:val="24"/>
              </w:rPr>
            </w:pPr>
            <w:r w:rsidRPr="002D4DAD">
              <w:rPr>
                <w:rFonts w:ascii="Times New Roman" w:hAnsi="Times New Roman" w:cs="Times New Roman"/>
                <w:sz w:val="24"/>
                <w:szCs w:val="24"/>
              </w:rPr>
              <w:t>Pages per Visit</w:t>
            </w:r>
          </w:p>
        </w:tc>
        <w:tc>
          <w:tcPr>
            <w:tcW w:w="1417" w:type="dxa"/>
            <w:vAlign w:val="bottom"/>
          </w:tcPr>
          <w:p w14:paraId="378243DA" w14:textId="09711A12" w:rsidR="00C055F6" w:rsidRPr="002D4DAD" w:rsidRDefault="00C055F6" w:rsidP="00C055F6">
            <w:pPr>
              <w:spacing w:before="20" w:after="20" w:line="276" w:lineRule="auto"/>
              <w:jc w:val="right"/>
              <w:rPr>
                <w:rFonts w:ascii="Times New Roman" w:eastAsia="Times New Roman" w:hAnsi="Times New Roman" w:cs="Times New Roman"/>
                <w:b/>
                <w:bCs/>
                <w:sz w:val="24"/>
                <w:szCs w:val="24"/>
              </w:rPr>
            </w:pPr>
            <w:r w:rsidRPr="00CE035A">
              <w:rPr>
                <w:rFonts w:ascii="Lato" w:eastAsia="Times New Roman" w:hAnsi="Lato" w:cs="Calibri"/>
                <w:sz w:val="21"/>
                <w:szCs w:val="21"/>
              </w:rPr>
              <w:t>2.5</w:t>
            </w:r>
          </w:p>
        </w:tc>
        <w:tc>
          <w:tcPr>
            <w:tcW w:w="1525" w:type="dxa"/>
            <w:vAlign w:val="bottom"/>
          </w:tcPr>
          <w:p w14:paraId="1B71D9F0" w14:textId="075613D0" w:rsidR="00C055F6" w:rsidRPr="002D4DAD" w:rsidRDefault="00C055F6" w:rsidP="00C055F6">
            <w:pPr>
              <w:spacing w:before="20" w:after="20" w:line="276" w:lineRule="auto"/>
              <w:jc w:val="right"/>
              <w:rPr>
                <w:rFonts w:ascii="Times New Roman" w:eastAsia="Times New Roman" w:hAnsi="Times New Roman" w:cs="Times New Roman"/>
                <w:sz w:val="24"/>
                <w:szCs w:val="24"/>
              </w:rPr>
            </w:pPr>
            <w:r w:rsidRPr="00CE035A">
              <w:rPr>
                <w:rFonts w:ascii="Lato" w:eastAsia="Times New Roman" w:hAnsi="Lato" w:cs="Calibri"/>
                <w:sz w:val="21"/>
                <w:szCs w:val="21"/>
              </w:rPr>
              <w:t>-0.16</w:t>
            </w:r>
          </w:p>
        </w:tc>
      </w:tr>
      <w:tr w:rsidR="00C055F6" w:rsidRPr="002D4DAD" w14:paraId="3D905DD9" w14:textId="77777777" w:rsidTr="00076D73">
        <w:tc>
          <w:tcPr>
            <w:tcW w:w="6295" w:type="dxa"/>
          </w:tcPr>
          <w:p w14:paraId="39B06001" w14:textId="77777777" w:rsidR="00C055F6" w:rsidRPr="002D4DAD" w:rsidRDefault="00C055F6" w:rsidP="00C055F6">
            <w:pPr>
              <w:tabs>
                <w:tab w:val="left" w:pos="404"/>
              </w:tabs>
              <w:spacing w:before="20" w:after="20" w:line="276" w:lineRule="auto"/>
              <w:ind w:left="44"/>
              <w:rPr>
                <w:rFonts w:ascii="Times New Roman" w:hAnsi="Times New Roman" w:cs="Times New Roman"/>
                <w:sz w:val="24"/>
                <w:szCs w:val="24"/>
              </w:rPr>
            </w:pPr>
            <w:r w:rsidRPr="002D4DAD">
              <w:rPr>
                <w:rFonts w:ascii="Times New Roman" w:hAnsi="Times New Roman" w:cs="Times New Roman"/>
                <w:sz w:val="24"/>
                <w:szCs w:val="24"/>
              </w:rPr>
              <w:t>Average Duration per Visit</w:t>
            </w:r>
          </w:p>
        </w:tc>
        <w:tc>
          <w:tcPr>
            <w:tcW w:w="1417" w:type="dxa"/>
            <w:vAlign w:val="bottom"/>
          </w:tcPr>
          <w:p w14:paraId="3E5FCA2C" w14:textId="77D12985" w:rsidR="00C055F6" w:rsidRPr="002D4DAD" w:rsidRDefault="00C055F6" w:rsidP="00C055F6">
            <w:pPr>
              <w:spacing w:before="20" w:after="20" w:line="276" w:lineRule="auto"/>
              <w:jc w:val="right"/>
              <w:rPr>
                <w:rFonts w:ascii="Times New Roman" w:hAnsi="Times New Roman" w:cs="Times New Roman"/>
                <w:b/>
                <w:sz w:val="24"/>
                <w:szCs w:val="24"/>
              </w:rPr>
            </w:pPr>
            <w:r w:rsidRPr="00CE035A">
              <w:rPr>
                <w:rFonts w:ascii="Lato" w:eastAsia="Times New Roman" w:hAnsi="Lato" w:cs="Calibri"/>
                <w:sz w:val="21"/>
                <w:szCs w:val="21"/>
              </w:rPr>
              <w:t>0m 51s</w:t>
            </w:r>
          </w:p>
        </w:tc>
        <w:tc>
          <w:tcPr>
            <w:tcW w:w="1525" w:type="dxa"/>
            <w:vAlign w:val="bottom"/>
          </w:tcPr>
          <w:p w14:paraId="7BDBE295" w14:textId="6BE429ED" w:rsidR="00C055F6" w:rsidRPr="002D4DAD" w:rsidRDefault="00C055F6" w:rsidP="00C055F6">
            <w:pPr>
              <w:spacing w:before="20" w:after="20" w:line="276" w:lineRule="auto"/>
              <w:jc w:val="right"/>
              <w:rPr>
                <w:rFonts w:ascii="Times New Roman" w:hAnsi="Times New Roman" w:cs="Times New Roman"/>
                <w:sz w:val="24"/>
                <w:szCs w:val="24"/>
              </w:rPr>
            </w:pPr>
            <w:r w:rsidRPr="00CE035A">
              <w:rPr>
                <w:rFonts w:ascii="Lato" w:eastAsia="Times New Roman" w:hAnsi="Lato" w:cs="Calibri"/>
                <w:sz w:val="21"/>
                <w:szCs w:val="21"/>
              </w:rPr>
              <w:t>2 s increase</w:t>
            </w:r>
          </w:p>
        </w:tc>
      </w:tr>
    </w:tbl>
    <w:p w14:paraId="666D2113" w14:textId="77777777" w:rsidR="007C279B" w:rsidRPr="002D4DAD" w:rsidRDefault="007C279B" w:rsidP="00C055F6">
      <w:pPr>
        <w:shd w:val="clear" w:color="auto" w:fill="E2EFD9" w:themeFill="accent6" w:themeFillTint="33"/>
        <w:spacing w:before="240"/>
        <w:rPr>
          <w:b/>
        </w:rPr>
      </w:pPr>
      <w:bookmarkStart w:id="19" w:name="_Toc448087439"/>
      <w:r w:rsidRPr="002D4DAD">
        <w:rPr>
          <w:b/>
        </w:rPr>
        <w:t>Top 10 Pages Visited</w:t>
      </w:r>
      <w:bookmarkEnd w:id="19"/>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op 10 Pages Visited"/>
      </w:tblPr>
      <w:tblGrid>
        <w:gridCol w:w="6295"/>
        <w:gridCol w:w="1417"/>
        <w:gridCol w:w="1525"/>
      </w:tblGrid>
      <w:tr w:rsidR="007C279B" w:rsidRPr="002D4DAD" w14:paraId="4E9DDDA6" w14:textId="77777777" w:rsidTr="001126BD">
        <w:trPr>
          <w:tblHeader/>
        </w:trPr>
        <w:tc>
          <w:tcPr>
            <w:tcW w:w="6295" w:type="dxa"/>
            <w:shd w:val="clear" w:color="auto" w:fill="D5DCE4" w:themeFill="text2" w:themeFillTint="33"/>
            <w:vAlign w:val="bottom"/>
          </w:tcPr>
          <w:p w14:paraId="039ACE8A" w14:textId="77777777" w:rsidR="007C279B" w:rsidRPr="002D4DAD" w:rsidRDefault="007C279B" w:rsidP="001126BD">
            <w:pPr>
              <w:spacing w:before="20" w:after="20" w:line="276" w:lineRule="auto"/>
              <w:jc w:val="center"/>
              <w:rPr>
                <w:rFonts w:ascii="Times New Roman" w:eastAsia="Times New Roman" w:hAnsi="Times New Roman" w:cs="Times New Roman"/>
                <w:b/>
                <w:sz w:val="24"/>
                <w:szCs w:val="24"/>
              </w:rPr>
            </w:pPr>
            <w:r w:rsidRPr="002D4DAD">
              <w:rPr>
                <w:rFonts w:ascii="Times New Roman" w:eastAsia="Times New Roman" w:hAnsi="Times New Roman" w:cs="Times New Roman"/>
                <w:b/>
                <w:sz w:val="24"/>
                <w:szCs w:val="24"/>
              </w:rPr>
              <w:t>Pages</w:t>
            </w:r>
          </w:p>
        </w:tc>
        <w:tc>
          <w:tcPr>
            <w:tcW w:w="1417" w:type="dxa"/>
            <w:shd w:val="clear" w:color="auto" w:fill="D5DCE4" w:themeFill="text2" w:themeFillTint="33"/>
            <w:vAlign w:val="bottom"/>
          </w:tcPr>
          <w:p w14:paraId="64F2488A" w14:textId="77777777" w:rsidR="007C279B" w:rsidRPr="002D4DAD" w:rsidRDefault="007C279B" w:rsidP="001126BD">
            <w:pPr>
              <w:spacing w:before="20" w:after="20" w:line="276" w:lineRule="auto"/>
              <w:jc w:val="center"/>
              <w:rPr>
                <w:rFonts w:ascii="Times New Roman" w:eastAsia="Times New Roman" w:hAnsi="Times New Roman" w:cs="Times New Roman"/>
                <w:b/>
                <w:bCs/>
                <w:sz w:val="24"/>
                <w:szCs w:val="24"/>
              </w:rPr>
            </w:pPr>
            <w:r w:rsidRPr="002D4DAD">
              <w:rPr>
                <w:rFonts w:ascii="Times New Roman" w:eastAsia="Times New Roman" w:hAnsi="Times New Roman" w:cs="Times New Roman"/>
                <w:b/>
                <w:bCs/>
                <w:sz w:val="24"/>
                <w:szCs w:val="24"/>
              </w:rPr>
              <w:t>Page Views</w:t>
            </w:r>
          </w:p>
        </w:tc>
        <w:tc>
          <w:tcPr>
            <w:tcW w:w="1525" w:type="dxa"/>
            <w:shd w:val="clear" w:color="auto" w:fill="D5DCE4" w:themeFill="text2" w:themeFillTint="33"/>
            <w:vAlign w:val="bottom"/>
          </w:tcPr>
          <w:p w14:paraId="3DD5D01E" w14:textId="77777777" w:rsidR="007C279B" w:rsidRPr="002D4DAD" w:rsidRDefault="007C279B" w:rsidP="001126BD">
            <w:pPr>
              <w:spacing w:before="20" w:after="20" w:line="276" w:lineRule="auto"/>
              <w:jc w:val="center"/>
              <w:rPr>
                <w:rFonts w:ascii="Times New Roman" w:eastAsia="Times New Roman" w:hAnsi="Times New Roman" w:cs="Times New Roman"/>
                <w:b/>
                <w:sz w:val="24"/>
                <w:szCs w:val="24"/>
              </w:rPr>
            </w:pPr>
            <w:r w:rsidRPr="002D4DAD">
              <w:rPr>
                <w:rFonts w:ascii="Times New Roman" w:eastAsia="Times New Roman" w:hAnsi="Times New Roman" w:cs="Times New Roman"/>
                <w:b/>
                <w:sz w:val="24"/>
                <w:szCs w:val="24"/>
              </w:rPr>
              <w:t>Percentage</w:t>
            </w:r>
          </w:p>
        </w:tc>
      </w:tr>
      <w:tr w:rsidR="00C055F6" w:rsidRPr="002D4DAD" w14:paraId="3106D963" w14:textId="77777777" w:rsidTr="001126BD">
        <w:tc>
          <w:tcPr>
            <w:tcW w:w="6295" w:type="dxa"/>
            <w:vAlign w:val="center"/>
          </w:tcPr>
          <w:p w14:paraId="194CFF7A" w14:textId="62255142" w:rsidR="00C055F6" w:rsidRPr="002D4DAD" w:rsidRDefault="00C055F6" w:rsidP="00615183">
            <w:pPr>
              <w:pStyle w:val="ListParagraph"/>
              <w:numPr>
                <w:ilvl w:val="0"/>
                <w:numId w:val="5"/>
              </w:numPr>
              <w:spacing w:before="20" w:after="20" w:line="276" w:lineRule="auto"/>
              <w:contextualSpacing w:val="0"/>
              <w:rPr>
                <w:rFonts w:ascii="Times New Roman" w:eastAsia="Times New Roman" w:hAnsi="Times New Roman" w:cs="Times New Roman"/>
                <w:sz w:val="24"/>
                <w:szCs w:val="24"/>
              </w:rPr>
            </w:pPr>
            <w:r w:rsidRPr="00CE035A">
              <w:rPr>
                <w:rFonts w:ascii="Lato" w:eastAsia="Times New Roman" w:hAnsi="Lato" w:cs="Calibri"/>
                <w:color w:val="000000"/>
                <w:sz w:val="21"/>
                <w:szCs w:val="21"/>
              </w:rPr>
              <w:t>Home</w:t>
            </w:r>
          </w:p>
        </w:tc>
        <w:tc>
          <w:tcPr>
            <w:tcW w:w="1417" w:type="dxa"/>
            <w:vAlign w:val="center"/>
          </w:tcPr>
          <w:p w14:paraId="39F19A73" w14:textId="608783B6" w:rsidR="00C055F6" w:rsidRPr="002D4DAD" w:rsidRDefault="00C055F6" w:rsidP="00C055F6">
            <w:pPr>
              <w:spacing w:before="20" w:after="20" w:line="276" w:lineRule="auto"/>
              <w:jc w:val="right"/>
              <w:rPr>
                <w:rFonts w:ascii="Times New Roman" w:eastAsiaTheme="majorEastAsia" w:hAnsi="Times New Roman" w:cs="Times New Roman"/>
                <w:b/>
                <w:bCs/>
                <w:color w:val="000000" w:themeColor="text1"/>
                <w:sz w:val="24"/>
                <w:szCs w:val="24"/>
              </w:rPr>
            </w:pPr>
            <w:r w:rsidRPr="00CE035A">
              <w:rPr>
                <w:rFonts w:ascii="Lato" w:eastAsia="Times New Roman" w:hAnsi="Lato" w:cs="Calibri"/>
                <w:color w:val="000000"/>
                <w:sz w:val="21"/>
                <w:szCs w:val="21"/>
              </w:rPr>
              <w:t xml:space="preserve"> 2,802 </w:t>
            </w:r>
          </w:p>
        </w:tc>
        <w:tc>
          <w:tcPr>
            <w:tcW w:w="1525" w:type="dxa"/>
            <w:vAlign w:val="center"/>
          </w:tcPr>
          <w:p w14:paraId="04BF1149" w14:textId="05556ED0" w:rsidR="00C055F6" w:rsidRPr="002D4DAD" w:rsidRDefault="00C055F6" w:rsidP="00C055F6">
            <w:pPr>
              <w:spacing w:before="20" w:after="20" w:line="276" w:lineRule="auto"/>
              <w:jc w:val="right"/>
              <w:rPr>
                <w:rFonts w:ascii="Times New Roman" w:eastAsiaTheme="majorEastAsia" w:hAnsi="Times New Roman" w:cs="Times New Roman"/>
                <w:color w:val="000000" w:themeColor="text1"/>
                <w:sz w:val="24"/>
                <w:szCs w:val="24"/>
              </w:rPr>
            </w:pPr>
            <w:r w:rsidRPr="00CE035A">
              <w:rPr>
                <w:rFonts w:ascii="Lato" w:eastAsia="Times New Roman" w:hAnsi="Lato" w:cs="Calibri"/>
                <w:color w:val="000000"/>
                <w:sz w:val="21"/>
                <w:szCs w:val="21"/>
              </w:rPr>
              <w:t>24%</w:t>
            </w:r>
          </w:p>
        </w:tc>
      </w:tr>
      <w:tr w:rsidR="00C055F6" w:rsidRPr="002D4DAD" w14:paraId="52BCA114" w14:textId="77777777" w:rsidTr="001126BD">
        <w:tc>
          <w:tcPr>
            <w:tcW w:w="6295" w:type="dxa"/>
            <w:vAlign w:val="center"/>
          </w:tcPr>
          <w:p w14:paraId="6ECE89D2" w14:textId="4EFA8DFB"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VRTAC-QM Training</w:t>
            </w:r>
          </w:p>
        </w:tc>
        <w:tc>
          <w:tcPr>
            <w:tcW w:w="1417" w:type="dxa"/>
            <w:vAlign w:val="center"/>
          </w:tcPr>
          <w:p w14:paraId="048A3BD9" w14:textId="29BC2968"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738 </w:t>
            </w:r>
          </w:p>
        </w:tc>
        <w:tc>
          <w:tcPr>
            <w:tcW w:w="1525" w:type="dxa"/>
            <w:vAlign w:val="center"/>
          </w:tcPr>
          <w:p w14:paraId="46269F5E" w14:textId="6ED25906"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6%</w:t>
            </w:r>
          </w:p>
        </w:tc>
      </w:tr>
      <w:tr w:rsidR="00C055F6" w:rsidRPr="002D4DAD" w14:paraId="7E5D290E" w14:textId="77777777" w:rsidTr="001126BD">
        <w:tc>
          <w:tcPr>
            <w:tcW w:w="6295" w:type="dxa"/>
            <w:vAlign w:val="center"/>
          </w:tcPr>
          <w:p w14:paraId="297C647E" w14:textId="3265D02A"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Program &amp; Performance Quality Management</w:t>
            </w:r>
          </w:p>
        </w:tc>
        <w:tc>
          <w:tcPr>
            <w:tcW w:w="1417" w:type="dxa"/>
            <w:vAlign w:val="center"/>
          </w:tcPr>
          <w:p w14:paraId="242802A7" w14:textId="32B04C87"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483 </w:t>
            </w:r>
          </w:p>
        </w:tc>
        <w:tc>
          <w:tcPr>
            <w:tcW w:w="1525" w:type="dxa"/>
            <w:vAlign w:val="center"/>
          </w:tcPr>
          <w:p w14:paraId="2DFA8215" w14:textId="033D731F"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4%</w:t>
            </w:r>
          </w:p>
        </w:tc>
      </w:tr>
      <w:tr w:rsidR="00C055F6" w:rsidRPr="002D4DAD" w14:paraId="3A3DADBF" w14:textId="77777777" w:rsidTr="001126BD">
        <w:tc>
          <w:tcPr>
            <w:tcW w:w="6295" w:type="dxa"/>
            <w:vAlign w:val="center"/>
          </w:tcPr>
          <w:p w14:paraId="56FCFE96" w14:textId="3792DF85" w:rsidR="00C055F6" w:rsidRPr="002D4DAD" w:rsidRDefault="00C055F6" w:rsidP="00615183">
            <w:pPr>
              <w:pStyle w:val="ListParagraph"/>
              <w:numPr>
                <w:ilvl w:val="0"/>
                <w:numId w:val="5"/>
              </w:numPr>
              <w:spacing w:before="20" w:after="20" w:line="276" w:lineRule="auto"/>
              <w:contextualSpacing w:val="0"/>
              <w:jc w:val="both"/>
              <w:rPr>
                <w:rFonts w:ascii="Times New Roman" w:hAnsi="Times New Roman" w:cs="Times New Roman"/>
                <w:sz w:val="24"/>
                <w:szCs w:val="24"/>
              </w:rPr>
            </w:pPr>
            <w:r w:rsidRPr="00CE035A">
              <w:rPr>
                <w:rFonts w:ascii="Lato" w:eastAsia="Times New Roman" w:hAnsi="Lato" w:cs="Calibri"/>
                <w:color w:val="000000"/>
                <w:sz w:val="21"/>
                <w:szCs w:val="21"/>
              </w:rPr>
              <w:t>About Us</w:t>
            </w:r>
          </w:p>
        </w:tc>
        <w:tc>
          <w:tcPr>
            <w:tcW w:w="1417" w:type="dxa"/>
            <w:vAlign w:val="center"/>
          </w:tcPr>
          <w:p w14:paraId="42BFAE1D" w14:textId="43C264AC"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422 </w:t>
            </w:r>
          </w:p>
        </w:tc>
        <w:tc>
          <w:tcPr>
            <w:tcW w:w="1525" w:type="dxa"/>
            <w:vAlign w:val="center"/>
          </w:tcPr>
          <w:p w14:paraId="4E875E68" w14:textId="064D71BA"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4%</w:t>
            </w:r>
          </w:p>
        </w:tc>
      </w:tr>
      <w:tr w:rsidR="00C055F6" w:rsidRPr="002D4DAD" w14:paraId="35803345" w14:textId="77777777" w:rsidTr="001126BD">
        <w:tc>
          <w:tcPr>
            <w:tcW w:w="6295" w:type="dxa"/>
            <w:vAlign w:val="center"/>
          </w:tcPr>
          <w:p w14:paraId="6B3F5CCA" w14:textId="6C1B0690"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Training Portal</w:t>
            </w:r>
          </w:p>
        </w:tc>
        <w:tc>
          <w:tcPr>
            <w:tcW w:w="1417" w:type="dxa"/>
            <w:vAlign w:val="center"/>
          </w:tcPr>
          <w:p w14:paraId="78D79A81" w14:textId="67C10E86"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404 </w:t>
            </w:r>
          </w:p>
        </w:tc>
        <w:tc>
          <w:tcPr>
            <w:tcW w:w="1525" w:type="dxa"/>
            <w:vAlign w:val="center"/>
          </w:tcPr>
          <w:p w14:paraId="024F4113" w14:textId="4E5A1A2E"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3%</w:t>
            </w:r>
          </w:p>
        </w:tc>
      </w:tr>
      <w:tr w:rsidR="00C055F6" w:rsidRPr="002D4DAD" w14:paraId="7C9C2707" w14:textId="77777777" w:rsidTr="001126BD">
        <w:tc>
          <w:tcPr>
            <w:tcW w:w="6295" w:type="dxa"/>
            <w:vAlign w:val="center"/>
          </w:tcPr>
          <w:p w14:paraId="123BAED8" w14:textId="4F4A24B4"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VR Program Fiscal Management</w:t>
            </w:r>
          </w:p>
        </w:tc>
        <w:tc>
          <w:tcPr>
            <w:tcW w:w="1417" w:type="dxa"/>
            <w:vAlign w:val="center"/>
          </w:tcPr>
          <w:p w14:paraId="16AF579B" w14:textId="3E7DF384"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396 </w:t>
            </w:r>
          </w:p>
        </w:tc>
        <w:tc>
          <w:tcPr>
            <w:tcW w:w="1525" w:type="dxa"/>
            <w:vAlign w:val="center"/>
          </w:tcPr>
          <w:p w14:paraId="5FC0A58E" w14:textId="27BDCADA"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3%</w:t>
            </w:r>
          </w:p>
        </w:tc>
      </w:tr>
      <w:tr w:rsidR="00C055F6" w:rsidRPr="002D4DAD" w14:paraId="7056F90C" w14:textId="77777777" w:rsidTr="001126BD">
        <w:tc>
          <w:tcPr>
            <w:tcW w:w="6295" w:type="dxa"/>
            <w:vAlign w:val="center"/>
          </w:tcPr>
          <w:p w14:paraId="0D922DB5" w14:textId="419B428D" w:rsidR="00C055F6" w:rsidRPr="002D4DAD" w:rsidRDefault="00C055F6" w:rsidP="00615183">
            <w:pPr>
              <w:pStyle w:val="ListParagraph"/>
              <w:numPr>
                <w:ilvl w:val="0"/>
                <w:numId w:val="5"/>
              </w:numPr>
              <w:spacing w:before="20" w:after="20" w:line="276" w:lineRule="auto"/>
              <w:contextualSpacing w:val="0"/>
              <w:jc w:val="both"/>
              <w:rPr>
                <w:rFonts w:ascii="Times New Roman" w:hAnsi="Times New Roman" w:cs="Times New Roman"/>
                <w:sz w:val="24"/>
                <w:szCs w:val="24"/>
              </w:rPr>
            </w:pPr>
            <w:r w:rsidRPr="00CE035A">
              <w:rPr>
                <w:rFonts w:ascii="Lato" w:eastAsia="Times New Roman" w:hAnsi="Lato" w:cs="Calibri"/>
                <w:color w:val="000000"/>
                <w:sz w:val="21"/>
                <w:szCs w:val="21"/>
              </w:rPr>
              <w:t>Fiscal &amp; Resource Quality Management</w:t>
            </w:r>
          </w:p>
        </w:tc>
        <w:tc>
          <w:tcPr>
            <w:tcW w:w="1417" w:type="dxa"/>
            <w:vAlign w:val="center"/>
          </w:tcPr>
          <w:p w14:paraId="3BF03D77" w14:textId="6189A126"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361 </w:t>
            </w:r>
          </w:p>
        </w:tc>
        <w:tc>
          <w:tcPr>
            <w:tcW w:w="1525" w:type="dxa"/>
            <w:vAlign w:val="center"/>
          </w:tcPr>
          <w:p w14:paraId="0A72C75D" w14:textId="02846734"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3%</w:t>
            </w:r>
          </w:p>
        </w:tc>
      </w:tr>
      <w:tr w:rsidR="00C055F6" w:rsidRPr="002D4DAD" w14:paraId="1A0FC151" w14:textId="77777777" w:rsidTr="001126BD">
        <w:tc>
          <w:tcPr>
            <w:tcW w:w="6295" w:type="dxa"/>
            <w:vAlign w:val="center"/>
          </w:tcPr>
          <w:p w14:paraId="539D3F63" w14:textId="0D692209"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Data Tools &amp; Resources</w:t>
            </w:r>
          </w:p>
        </w:tc>
        <w:tc>
          <w:tcPr>
            <w:tcW w:w="1417" w:type="dxa"/>
            <w:vAlign w:val="center"/>
          </w:tcPr>
          <w:p w14:paraId="5295A6E2" w14:textId="09DF517C"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254 </w:t>
            </w:r>
          </w:p>
        </w:tc>
        <w:tc>
          <w:tcPr>
            <w:tcW w:w="1525" w:type="dxa"/>
            <w:vAlign w:val="center"/>
          </w:tcPr>
          <w:p w14:paraId="523017D9" w14:textId="26A55A9F"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2%</w:t>
            </w:r>
          </w:p>
        </w:tc>
      </w:tr>
      <w:tr w:rsidR="00C055F6" w:rsidRPr="002D4DAD" w14:paraId="0A74E7C3" w14:textId="77777777" w:rsidTr="001126BD">
        <w:tc>
          <w:tcPr>
            <w:tcW w:w="6295" w:type="dxa"/>
            <w:vAlign w:val="center"/>
          </w:tcPr>
          <w:p w14:paraId="6977FFF6" w14:textId="7A61C900"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Community of Practice</w:t>
            </w:r>
          </w:p>
        </w:tc>
        <w:tc>
          <w:tcPr>
            <w:tcW w:w="1417" w:type="dxa"/>
            <w:vAlign w:val="center"/>
          </w:tcPr>
          <w:p w14:paraId="3BA381C5" w14:textId="1DC27927"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223 </w:t>
            </w:r>
          </w:p>
        </w:tc>
        <w:tc>
          <w:tcPr>
            <w:tcW w:w="1525" w:type="dxa"/>
            <w:vAlign w:val="center"/>
          </w:tcPr>
          <w:p w14:paraId="0AB630A5" w14:textId="6B1999A2"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2%</w:t>
            </w:r>
          </w:p>
        </w:tc>
      </w:tr>
      <w:tr w:rsidR="00C055F6" w:rsidRPr="002D4DAD" w14:paraId="2C6738FA" w14:textId="77777777" w:rsidTr="001126BD">
        <w:tc>
          <w:tcPr>
            <w:tcW w:w="6295" w:type="dxa"/>
            <w:vAlign w:val="center"/>
          </w:tcPr>
          <w:p w14:paraId="41EBD1B2" w14:textId="24853302" w:rsidR="00C055F6" w:rsidRPr="002D4DAD" w:rsidRDefault="00C055F6" w:rsidP="00615183">
            <w:pPr>
              <w:pStyle w:val="ListParagraph"/>
              <w:numPr>
                <w:ilvl w:val="0"/>
                <w:numId w:val="5"/>
              </w:numPr>
              <w:spacing w:before="20" w:after="20" w:line="276" w:lineRule="auto"/>
              <w:contextualSpacing w:val="0"/>
              <w:rPr>
                <w:rFonts w:ascii="Times New Roman" w:hAnsi="Times New Roman" w:cs="Times New Roman"/>
                <w:sz w:val="24"/>
                <w:szCs w:val="24"/>
              </w:rPr>
            </w:pPr>
            <w:r w:rsidRPr="00CE035A">
              <w:rPr>
                <w:rFonts w:ascii="Lato" w:eastAsia="Times New Roman" w:hAnsi="Lato" w:cs="Calibri"/>
                <w:color w:val="000000"/>
                <w:sz w:val="21"/>
                <w:szCs w:val="21"/>
              </w:rPr>
              <w:t>WIOA Performance Accountability System</w:t>
            </w:r>
          </w:p>
        </w:tc>
        <w:tc>
          <w:tcPr>
            <w:tcW w:w="1417" w:type="dxa"/>
            <w:vAlign w:val="center"/>
          </w:tcPr>
          <w:p w14:paraId="0ED879CD" w14:textId="720E8DC0"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 xml:space="preserve"> 191 </w:t>
            </w:r>
          </w:p>
        </w:tc>
        <w:tc>
          <w:tcPr>
            <w:tcW w:w="1525" w:type="dxa"/>
            <w:vAlign w:val="center"/>
          </w:tcPr>
          <w:p w14:paraId="21C562AD" w14:textId="2AF68A41" w:rsidR="00C055F6" w:rsidRPr="002D4DAD" w:rsidRDefault="00C055F6" w:rsidP="00C055F6">
            <w:pPr>
              <w:spacing w:before="20" w:after="20" w:line="276" w:lineRule="auto"/>
              <w:jc w:val="right"/>
              <w:rPr>
                <w:rFonts w:ascii="Times New Roman" w:eastAsiaTheme="majorEastAsia" w:hAnsi="Times New Roman" w:cs="Times New Roman"/>
                <w:color w:val="000000"/>
                <w:sz w:val="24"/>
                <w:szCs w:val="24"/>
              </w:rPr>
            </w:pPr>
            <w:r w:rsidRPr="00CE035A">
              <w:rPr>
                <w:rFonts w:ascii="Lato" w:eastAsia="Times New Roman" w:hAnsi="Lato" w:cs="Calibri"/>
                <w:color w:val="000000"/>
                <w:sz w:val="21"/>
                <w:szCs w:val="21"/>
              </w:rPr>
              <w:t>2%</w:t>
            </w:r>
          </w:p>
        </w:tc>
      </w:tr>
    </w:tbl>
    <w:p w14:paraId="0F019628" w14:textId="77777777" w:rsidR="007C279B" w:rsidRPr="002D4DAD" w:rsidRDefault="007C279B" w:rsidP="00C055F6">
      <w:pPr>
        <w:shd w:val="clear" w:color="auto" w:fill="E2EFD9" w:themeFill="accent6" w:themeFillTint="33"/>
        <w:spacing w:before="240"/>
        <w:rPr>
          <w:b/>
        </w:rPr>
      </w:pPr>
      <w:bookmarkStart w:id="20" w:name="_Toc448087440"/>
      <w:r w:rsidRPr="002D4DAD">
        <w:rPr>
          <w:b/>
        </w:rPr>
        <w:t>Traffic Overview by States – 10 States with Higher Traffic</w:t>
      </w:r>
      <w:bookmarkEnd w:id="20"/>
    </w:p>
    <w:tbl>
      <w:tblPr>
        <w:tblW w:w="90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90"/>
        <w:gridCol w:w="990"/>
        <w:gridCol w:w="1260"/>
        <w:gridCol w:w="1440"/>
        <w:gridCol w:w="1440"/>
        <w:gridCol w:w="1170"/>
      </w:tblGrid>
      <w:tr w:rsidR="00C055F6" w:rsidRPr="0081572A" w14:paraId="46BEB31E" w14:textId="77777777" w:rsidTr="001232D8">
        <w:trPr>
          <w:trHeight w:val="800"/>
          <w:tblHeader/>
        </w:trPr>
        <w:tc>
          <w:tcPr>
            <w:tcW w:w="2790" w:type="dxa"/>
            <w:shd w:val="clear" w:color="auto" w:fill="D9E2F3" w:themeFill="accent5" w:themeFillTint="33"/>
            <w:vAlign w:val="bottom"/>
            <w:hideMark/>
          </w:tcPr>
          <w:p w14:paraId="1DBBA606" w14:textId="77777777" w:rsidR="00C055F6" w:rsidRPr="0081572A" w:rsidRDefault="00C055F6" w:rsidP="001232D8">
            <w:pPr>
              <w:spacing w:before="40" w:after="40" w:line="276" w:lineRule="auto"/>
              <w:jc w:val="center"/>
              <w:rPr>
                <w:rFonts w:ascii="Lato" w:eastAsia="Times New Roman" w:hAnsi="Lato" w:cstheme="minorHAnsi"/>
                <w:b/>
                <w:sz w:val="21"/>
                <w:szCs w:val="21"/>
                <w:lang w:eastAsia="ko-KR"/>
              </w:rPr>
            </w:pPr>
            <w:r w:rsidRPr="0081572A">
              <w:rPr>
                <w:rFonts w:ascii="Lato" w:eastAsia="Times New Roman" w:hAnsi="Lato" w:cstheme="minorHAnsi"/>
                <w:b/>
                <w:sz w:val="21"/>
                <w:szCs w:val="21"/>
                <w:lang w:eastAsia="ko-KR"/>
              </w:rPr>
              <w:t>Region</w:t>
            </w:r>
          </w:p>
        </w:tc>
        <w:tc>
          <w:tcPr>
            <w:tcW w:w="990" w:type="dxa"/>
            <w:shd w:val="clear" w:color="auto" w:fill="D9E2F3" w:themeFill="accent5" w:themeFillTint="33"/>
            <w:vAlign w:val="bottom"/>
            <w:hideMark/>
          </w:tcPr>
          <w:p w14:paraId="42DD0806" w14:textId="77777777" w:rsidR="00C055F6" w:rsidRPr="0081572A" w:rsidRDefault="00C055F6" w:rsidP="001232D8">
            <w:pPr>
              <w:spacing w:before="40" w:after="40" w:line="276" w:lineRule="auto"/>
              <w:jc w:val="center"/>
              <w:rPr>
                <w:rFonts w:ascii="Lato" w:eastAsia="Times New Roman" w:hAnsi="Lato" w:cstheme="minorHAnsi"/>
                <w:b/>
                <w:sz w:val="21"/>
                <w:szCs w:val="21"/>
                <w:lang w:eastAsia="ko-KR"/>
              </w:rPr>
            </w:pPr>
            <w:r w:rsidRPr="0081572A">
              <w:rPr>
                <w:rFonts w:ascii="Lato" w:eastAsia="Times New Roman" w:hAnsi="Lato" w:cstheme="minorHAnsi"/>
                <w:b/>
                <w:sz w:val="21"/>
                <w:szCs w:val="21"/>
                <w:lang w:eastAsia="ko-KR"/>
              </w:rPr>
              <w:t>Total</w:t>
            </w:r>
            <w:r>
              <w:rPr>
                <w:rFonts w:ascii="Lato" w:eastAsia="Times New Roman" w:hAnsi="Lato" w:cstheme="minorHAnsi"/>
                <w:b/>
                <w:sz w:val="21"/>
                <w:szCs w:val="21"/>
                <w:lang w:eastAsia="ko-KR"/>
              </w:rPr>
              <w:br/>
            </w:r>
            <w:r w:rsidRPr="0081572A">
              <w:rPr>
                <w:rFonts w:ascii="Lato" w:eastAsia="Times New Roman" w:hAnsi="Lato" w:cstheme="minorHAnsi"/>
                <w:b/>
                <w:sz w:val="21"/>
                <w:szCs w:val="21"/>
                <w:lang w:eastAsia="ko-KR"/>
              </w:rPr>
              <w:t>users</w:t>
            </w:r>
          </w:p>
        </w:tc>
        <w:tc>
          <w:tcPr>
            <w:tcW w:w="1260" w:type="dxa"/>
            <w:shd w:val="clear" w:color="auto" w:fill="D9E2F3" w:themeFill="accent5" w:themeFillTint="33"/>
            <w:vAlign w:val="bottom"/>
            <w:hideMark/>
          </w:tcPr>
          <w:p w14:paraId="3489B1D6" w14:textId="77777777" w:rsidR="00C055F6" w:rsidRPr="0081572A" w:rsidRDefault="00C055F6" w:rsidP="001232D8">
            <w:pPr>
              <w:spacing w:before="40" w:after="40" w:line="276" w:lineRule="auto"/>
              <w:jc w:val="center"/>
              <w:rPr>
                <w:rFonts w:ascii="Lato" w:eastAsia="Times New Roman" w:hAnsi="Lato" w:cstheme="minorHAnsi"/>
                <w:b/>
                <w:sz w:val="21"/>
                <w:szCs w:val="21"/>
                <w:lang w:eastAsia="ko-KR"/>
              </w:rPr>
            </w:pPr>
            <w:r w:rsidRPr="0081572A">
              <w:rPr>
                <w:rFonts w:ascii="Lato" w:eastAsia="Times New Roman" w:hAnsi="Lato" w:cstheme="minorHAnsi"/>
                <w:b/>
                <w:sz w:val="21"/>
                <w:szCs w:val="21"/>
                <w:lang w:eastAsia="ko-KR"/>
              </w:rPr>
              <w:t>New users</w:t>
            </w:r>
          </w:p>
        </w:tc>
        <w:tc>
          <w:tcPr>
            <w:tcW w:w="1440" w:type="dxa"/>
            <w:shd w:val="clear" w:color="auto" w:fill="D9E2F3" w:themeFill="accent5" w:themeFillTint="33"/>
            <w:vAlign w:val="bottom"/>
            <w:hideMark/>
          </w:tcPr>
          <w:p w14:paraId="2178288C" w14:textId="77777777" w:rsidR="00C055F6" w:rsidRPr="0081572A" w:rsidRDefault="00C055F6" w:rsidP="001232D8">
            <w:pPr>
              <w:spacing w:before="40" w:after="40" w:line="276" w:lineRule="auto"/>
              <w:jc w:val="center"/>
              <w:rPr>
                <w:rFonts w:ascii="Lato" w:eastAsia="Times New Roman" w:hAnsi="Lato" w:cstheme="minorHAnsi"/>
                <w:b/>
                <w:sz w:val="21"/>
                <w:szCs w:val="21"/>
                <w:lang w:eastAsia="ko-KR"/>
              </w:rPr>
            </w:pPr>
            <w:r w:rsidRPr="0081572A">
              <w:rPr>
                <w:rFonts w:ascii="Lato" w:eastAsia="Times New Roman" w:hAnsi="Lato" w:cstheme="minorHAnsi"/>
                <w:b/>
                <w:sz w:val="21"/>
                <w:szCs w:val="21"/>
                <w:lang w:eastAsia="ko-KR"/>
              </w:rPr>
              <w:t>Engaged sessions</w:t>
            </w:r>
          </w:p>
        </w:tc>
        <w:tc>
          <w:tcPr>
            <w:tcW w:w="1440" w:type="dxa"/>
            <w:shd w:val="clear" w:color="auto" w:fill="D9E2F3" w:themeFill="accent5" w:themeFillTint="33"/>
            <w:vAlign w:val="bottom"/>
            <w:hideMark/>
          </w:tcPr>
          <w:p w14:paraId="19B8597B" w14:textId="77777777" w:rsidR="00C055F6" w:rsidRPr="0081572A" w:rsidRDefault="00C055F6" w:rsidP="001232D8">
            <w:pPr>
              <w:spacing w:before="40" w:after="40" w:line="276" w:lineRule="auto"/>
              <w:jc w:val="center"/>
              <w:rPr>
                <w:rFonts w:ascii="Lato" w:eastAsia="Times New Roman" w:hAnsi="Lato" w:cstheme="minorHAnsi"/>
                <w:b/>
                <w:sz w:val="21"/>
                <w:szCs w:val="21"/>
                <w:lang w:eastAsia="ko-KR"/>
              </w:rPr>
            </w:pPr>
            <w:r w:rsidRPr="0081572A">
              <w:rPr>
                <w:rFonts w:ascii="Lato" w:eastAsia="Times New Roman" w:hAnsi="Lato" w:cstheme="minorHAnsi"/>
                <w:b/>
                <w:sz w:val="21"/>
                <w:szCs w:val="21"/>
                <w:lang w:eastAsia="ko-KR"/>
              </w:rPr>
              <w:t>Engagement rate</w:t>
            </w:r>
          </w:p>
        </w:tc>
        <w:tc>
          <w:tcPr>
            <w:tcW w:w="1170" w:type="dxa"/>
            <w:shd w:val="clear" w:color="auto" w:fill="D9E2F3" w:themeFill="accent5" w:themeFillTint="33"/>
            <w:vAlign w:val="bottom"/>
            <w:hideMark/>
          </w:tcPr>
          <w:p w14:paraId="504D7642" w14:textId="77777777" w:rsidR="00C055F6" w:rsidRPr="0081572A" w:rsidRDefault="00C055F6" w:rsidP="001232D8">
            <w:pPr>
              <w:spacing w:before="40" w:after="40" w:line="276" w:lineRule="auto"/>
              <w:jc w:val="center"/>
              <w:rPr>
                <w:rFonts w:ascii="Lato" w:eastAsia="Times New Roman" w:hAnsi="Lato" w:cstheme="minorHAnsi"/>
                <w:b/>
                <w:sz w:val="21"/>
                <w:szCs w:val="21"/>
                <w:lang w:eastAsia="ko-KR"/>
              </w:rPr>
            </w:pPr>
            <w:r w:rsidRPr="0081572A">
              <w:rPr>
                <w:rFonts w:ascii="Lato" w:eastAsia="Times New Roman" w:hAnsi="Lato" w:cstheme="minorHAnsi"/>
                <w:b/>
                <w:sz w:val="21"/>
                <w:szCs w:val="21"/>
                <w:lang w:eastAsia="ko-KR"/>
              </w:rPr>
              <w:t>Event count</w:t>
            </w:r>
          </w:p>
        </w:tc>
      </w:tr>
      <w:tr w:rsidR="00C055F6" w:rsidRPr="0081572A" w14:paraId="0B3387A4" w14:textId="77777777" w:rsidTr="001232D8">
        <w:trPr>
          <w:trHeight w:val="315"/>
        </w:trPr>
        <w:tc>
          <w:tcPr>
            <w:tcW w:w="2790" w:type="dxa"/>
            <w:shd w:val="clear" w:color="auto" w:fill="auto"/>
            <w:noWrap/>
            <w:vAlign w:val="center"/>
            <w:hideMark/>
          </w:tcPr>
          <w:p w14:paraId="1CEA6A61"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lang w:eastAsia="ko-KR"/>
              </w:rPr>
            </w:pPr>
            <w:r w:rsidRPr="00883301">
              <w:rPr>
                <w:rFonts w:ascii="Lato" w:eastAsia="Times New Roman" w:hAnsi="Lato" w:cstheme="minorHAnsi"/>
                <w:sz w:val="21"/>
                <w:szCs w:val="21"/>
                <w:lang w:eastAsia="ko-KR"/>
              </w:rPr>
              <w:t>Wyoming</w:t>
            </w:r>
          </w:p>
        </w:tc>
        <w:tc>
          <w:tcPr>
            <w:tcW w:w="990" w:type="dxa"/>
            <w:shd w:val="clear" w:color="auto" w:fill="auto"/>
            <w:noWrap/>
            <w:vAlign w:val="center"/>
            <w:hideMark/>
          </w:tcPr>
          <w:p w14:paraId="67FFD4F7"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363 </w:t>
            </w:r>
          </w:p>
        </w:tc>
        <w:tc>
          <w:tcPr>
            <w:tcW w:w="1260" w:type="dxa"/>
            <w:shd w:val="clear" w:color="auto" w:fill="auto"/>
            <w:noWrap/>
            <w:vAlign w:val="center"/>
            <w:hideMark/>
          </w:tcPr>
          <w:p w14:paraId="5C99FDB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354 </w:t>
            </w:r>
          </w:p>
        </w:tc>
        <w:tc>
          <w:tcPr>
            <w:tcW w:w="1440" w:type="dxa"/>
            <w:shd w:val="clear" w:color="auto" w:fill="auto"/>
            <w:noWrap/>
            <w:vAlign w:val="center"/>
            <w:hideMark/>
          </w:tcPr>
          <w:p w14:paraId="1AA83F16"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411 </w:t>
            </w:r>
          </w:p>
        </w:tc>
        <w:tc>
          <w:tcPr>
            <w:tcW w:w="1440" w:type="dxa"/>
            <w:shd w:val="clear" w:color="auto" w:fill="auto"/>
            <w:noWrap/>
            <w:vAlign w:val="center"/>
            <w:hideMark/>
          </w:tcPr>
          <w:p w14:paraId="4388F965"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94%</w:t>
            </w:r>
          </w:p>
        </w:tc>
        <w:tc>
          <w:tcPr>
            <w:tcW w:w="1170" w:type="dxa"/>
            <w:shd w:val="clear" w:color="auto" w:fill="auto"/>
            <w:noWrap/>
            <w:vAlign w:val="center"/>
            <w:hideMark/>
          </w:tcPr>
          <w:p w14:paraId="78D47FB0"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2,197 </w:t>
            </w:r>
          </w:p>
        </w:tc>
      </w:tr>
      <w:tr w:rsidR="00C055F6" w:rsidRPr="0081572A" w14:paraId="136352E7" w14:textId="77777777" w:rsidTr="001232D8">
        <w:trPr>
          <w:trHeight w:val="315"/>
        </w:trPr>
        <w:tc>
          <w:tcPr>
            <w:tcW w:w="2790" w:type="dxa"/>
            <w:shd w:val="clear" w:color="auto" w:fill="auto"/>
            <w:noWrap/>
            <w:vAlign w:val="center"/>
            <w:hideMark/>
          </w:tcPr>
          <w:p w14:paraId="52E74611"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Virginia</w:t>
            </w:r>
          </w:p>
        </w:tc>
        <w:tc>
          <w:tcPr>
            <w:tcW w:w="990" w:type="dxa"/>
            <w:shd w:val="clear" w:color="auto" w:fill="auto"/>
            <w:noWrap/>
            <w:vAlign w:val="center"/>
            <w:hideMark/>
          </w:tcPr>
          <w:p w14:paraId="0D77C974"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251 </w:t>
            </w:r>
          </w:p>
        </w:tc>
        <w:tc>
          <w:tcPr>
            <w:tcW w:w="1260" w:type="dxa"/>
            <w:shd w:val="clear" w:color="auto" w:fill="auto"/>
            <w:noWrap/>
            <w:vAlign w:val="center"/>
            <w:hideMark/>
          </w:tcPr>
          <w:p w14:paraId="4778215C"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244 </w:t>
            </w:r>
          </w:p>
        </w:tc>
        <w:tc>
          <w:tcPr>
            <w:tcW w:w="1440" w:type="dxa"/>
            <w:shd w:val="clear" w:color="auto" w:fill="auto"/>
            <w:noWrap/>
            <w:vAlign w:val="center"/>
            <w:hideMark/>
          </w:tcPr>
          <w:p w14:paraId="66A4A56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402 </w:t>
            </w:r>
          </w:p>
        </w:tc>
        <w:tc>
          <w:tcPr>
            <w:tcW w:w="1440" w:type="dxa"/>
            <w:shd w:val="clear" w:color="auto" w:fill="auto"/>
            <w:noWrap/>
            <w:vAlign w:val="center"/>
            <w:hideMark/>
          </w:tcPr>
          <w:p w14:paraId="556B5316"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86%</w:t>
            </w:r>
          </w:p>
        </w:tc>
        <w:tc>
          <w:tcPr>
            <w:tcW w:w="1170" w:type="dxa"/>
            <w:shd w:val="clear" w:color="auto" w:fill="auto"/>
            <w:noWrap/>
            <w:vAlign w:val="center"/>
            <w:hideMark/>
          </w:tcPr>
          <w:p w14:paraId="115F62F0"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3,996 </w:t>
            </w:r>
          </w:p>
        </w:tc>
      </w:tr>
      <w:tr w:rsidR="00C055F6" w:rsidRPr="0081572A" w14:paraId="57E79CBD" w14:textId="77777777" w:rsidTr="001232D8">
        <w:trPr>
          <w:trHeight w:val="315"/>
        </w:trPr>
        <w:tc>
          <w:tcPr>
            <w:tcW w:w="2790" w:type="dxa"/>
            <w:shd w:val="clear" w:color="auto" w:fill="auto"/>
            <w:noWrap/>
            <w:vAlign w:val="center"/>
            <w:hideMark/>
          </w:tcPr>
          <w:p w14:paraId="647026DB"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Florida</w:t>
            </w:r>
          </w:p>
        </w:tc>
        <w:tc>
          <w:tcPr>
            <w:tcW w:w="990" w:type="dxa"/>
            <w:shd w:val="clear" w:color="auto" w:fill="auto"/>
            <w:noWrap/>
            <w:vAlign w:val="center"/>
            <w:hideMark/>
          </w:tcPr>
          <w:p w14:paraId="3D8F8F94"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92 </w:t>
            </w:r>
          </w:p>
        </w:tc>
        <w:tc>
          <w:tcPr>
            <w:tcW w:w="1260" w:type="dxa"/>
            <w:shd w:val="clear" w:color="auto" w:fill="auto"/>
            <w:noWrap/>
            <w:vAlign w:val="center"/>
            <w:hideMark/>
          </w:tcPr>
          <w:p w14:paraId="4783E972"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77 </w:t>
            </w:r>
          </w:p>
        </w:tc>
        <w:tc>
          <w:tcPr>
            <w:tcW w:w="1440" w:type="dxa"/>
            <w:shd w:val="clear" w:color="auto" w:fill="auto"/>
            <w:noWrap/>
            <w:vAlign w:val="center"/>
            <w:hideMark/>
          </w:tcPr>
          <w:p w14:paraId="2A9F9B99"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193 </w:t>
            </w:r>
          </w:p>
        </w:tc>
        <w:tc>
          <w:tcPr>
            <w:tcW w:w="1440" w:type="dxa"/>
            <w:shd w:val="clear" w:color="auto" w:fill="auto"/>
            <w:noWrap/>
            <w:vAlign w:val="center"/>
            <w:hideMark/>
          </w:tcPr>
          <w:p w14:paraId="4821069C"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83%</w:t>
            </w:r>
          </w:p>
        </w:tc>
        <w:tc>
          <w:tcPr>
            <w:tcW w:w="1170" w:type="dxa"/>
            <w:shd w:val="clear" w:color="auto" w:fill="auto"/>
            <w:noWrap/>
            <w:vAlign w:val="center"/>
            <w:hideMark/>
          </w:tcPr>
          <w:p w14:paraId="36077A32"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1,950 </w:t>
            </w:r>
          </w:p>
        </w:tc>
      </w:tr>
      <w:tr w:rsidR="00C055F6" w:rsidRPr="0081572A" w14:paraId="05E04A1C" w14:textId="77777777" w:rsidTr="001232D8">
        <w:trPr>
          <w:trHeight w:val="315"/>
        </w:trPr>
        <w:tc>
          <w:tcPr>
            <w:tcW w:w="2790" w:type="dxa"/>
            <w:shd w:val="clear" w:color="auto" w:fill="auto"/>
            <w:noWrap/>
            <w:vAlign w:val="center"/>
            <w:hideMark/>
          </w:tcPr>
          <w:p w14:paraId="6B74F0EC"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lastRenderedPageBreak/>
              <w:t>Minnesota</w:t>
            </w:r>
          </w:p>
        </w:tc>
        <w:tc>
          <w:tcPr>
            <w:tcW w:w="990" w:type="dxa"/>
            <w:shd w:val="clear" w:color="auto" w:fill="auto"/>
            <w:noWrap/>
            <w:vAlign w:val="center"/>
            <w:hideMark/>
          </w:tcPr>
          <w:p w14:paraId="004B8E04"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40 </w:t>
            </w:r>
          </w:p>
        </w:tc>
        <w:tc>
          <w:tcPr>
            <w:tcW w:w="1260" w:type="dxa"/>
            <w:shd w:val="clear" w:color="auto" w:fill="auto"/>
            <w:noWrap/>
            <w:vAlign w:val="center"/>
            <w:hideMark/>
          </w:tcPr>
          <w:p w14:paraId="6D93E1BA"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25 </w:t>
            </w:r>
          </w:p>
        </w:tc>
        <w:tc>
          <w:tcPr>
            <w:tcW w:w="1440" w:type="dxa"/>
            <w:shd w:val="clear" w:color="auto" w:fill="auto"/>
            <w:noWrap/>
            <w:vAlign w:val="center"/>
            <w:hideMark/>
          </w:tcPr>
          <w:p w14:paraId="5D479834"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172 </w:t>
            </w:r>
          </w:p>
        </w:tc>
        <w:tc>
          <w:tcPr>
            <w:tcW w:w="1440" w:type="dxa"/>
            <w:shd w:val="clear" w:color="auto" w:fill="auto"/>
            <w:noWrap/>
            <w:vAlign w:val="center"/>
            <w:hideMark/>
          </w:tcPr>
          <w:p w14:paraId="1EA6DFE1"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80%</w:t>
            </w:r>
          </w:p>
        </w:tc>
        <w:tc>
          <w:tcPr>
            <w:tcW w:w="1170" w:type="dxa"/>
            <w:shd w:val="clear" w:color="auto" w:fill="auto"/>
            <w:noWrap/>
            <w:vAlign w:val="center"/>
            <w:hideMark/>
          </w:tcPr>
          <w:p w14:paraId="02E77E2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2,212 </w:t>
            </w:r>
          </w:p>
        </w:tc>
      </w:tr>
      <w:tr w:rsidR="00C055F6" w:rsidRPr="0081572A" w14:paraId="3FFEADE4" w14:textId="77777777" w:rsidTr="001232D8">
        <w:trPr>
          <w:trHeight w:val="315"/>
        </w:trPr>
        <w:tc>
          <w:tcPr>
            <w:tcW w:w="2790" w:type="dxa"/>
            <w:shd w:val="clear" w:color="auto" w:fill="auto"/>
            <w:noWrap/>
            <w:vAlign w:val="center"/>
            <w:hideMark/>
          </w:tcPr>
          <w:p w14:paraId="0887CBC6"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California</w:t>
            </w:r>
          </w:p>
        </w:tc>
        <w:tc>
          <w:tcPr>
            <w:tcW w:w="990" w:type="dxa"/>
            <w:shd w:val="clear" w:color="auto" w:fill="auto"/>
            <w:noWrap/>
            <w:vAlign w:val="center"/>
            <w:hideMark/>
          </w:tcPr>
          <w:p w14:paraId="5CA12CDB"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134 </w:t>
            </w:r>
          </w:p>
        </w:tc>
        <w:tc>
          <w:tcPr>
            <w:tcW w:w="1260" w:type="dxa"/>
            <w:shd w:val="clear" w:color="auto" w:fill="auto"/>
            <w:noWrap/>
            <w:vAlign w:val="center"/>
            <w:hideMark/>
          </w:tcPr>
          <w:p w14:paraId="2E42B883"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126 </w:t>
            </w:r>
          </w:p>
        </w:tc>
        <w:tc>
          <w:tcPr>
            <w:tcW w:w="1440" w:type="dxa"/>
            <w:shd w:val="clear" w:color="auto" w:fill="auto"/>
            <w:noWrap/>
            <w:vAlign w:val="center"/>
            <w:hideMark/>
          </w:tcPr>
          <w:p w14:paraId="50AD3C33"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152 </w:t>
            </w:r>
          </w:p>
        </w:tc>
        <w:tc>
          <w:tcPr>
            <w:tcW w:w="1440" w:type="dxa"/>
            <w:shd w:val="clear" w:color="auto" w:fill="auto"/>
            <w:noWrap/>
            <w:vAlign w:val="center"/>
            <w:hideMark/>
          </w:tcPr>
          <w:p w14:paraId="20EB5CBA"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92%</w:t>
            </w:r>
          </w:p>
        </w:tc>
        <w:tc>
          <w:tcPr>
            <w:tcW w:w="1170" w:type="dxa"/>
            <w:shd w:val="clear" w:color="auto" w:fill="auto"/>
            <w:noWrap/>
            <w:vAlign w:val="center"/>
            <w:hideMark/>
          </w:tcPr>
          <w:p w14:paraId="00510A24"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1,030 </w:t>
            </w:r>
          </w:p>
        </w:tc>
      </w:tr>
      <w:tr w:rsidR="00C055F6" w:rsidRPr="0081572A" w14:paraId="79C05315" w14:textId="77777777" w:rsidTr="001232D8">
        <w:trPr>
          <w:trHeight w:val="315"/>
        </w:trPr>
        <w:tc>
          <w:tcPr>
            <w:tcW w:w="2790" w:type="dxa"/>
            <w:shd w:val="clear" w:color="auto" w:fill="auto"/>
            <w:noWrap/>
            <w:vAlign w:val="center"/>
            <w:hideMark/>
          </w:tcPr>
          <w:p w14:paraId="2861E11E"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Washington</w:t>
            </w:r>
          </w:p>
        </w:tc>
        <w:tc>
          <w:tcPr>
            <w:tcW w:w="990" w:type="dxa"/>
            <w:shd w:val="clear" w:color="auto" w:fill="auto"/>
            <w:noWrap/>
            <w:vAlign w:val="center"/>
            <w:hideMark/>
          </w:tcPr>
          <w:p w14:paraId="4E06033B"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94 </w:t>
            </w:r>
          </w:p>
        </w:tc>
        <w:tc>
          <w:tcPr>
            <w:tcW w:w="1260" w:type="dxa"/>
            <w:shd w:val="clear" w:color="auto" w:fill="auto"/>
            <w:noWrap/>
            <w:vAlign w:val="center"/>
            <w:hideMark/>
          </w:tcPr>
          <w:p w14:paraId="57B6C546"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83 </w:t>
            </w:r>
          </w:p>
        </w:tc>
        <w:tc>
          <w:tcPr>
            <w:tcW w:w="1440" w:type="dxa"/>
            <w:shd w:val="clear" w:color="auto" w:fill="auto"/>
            <w:noWrap/>
            <w:vAlign w:val="center"/>
            <w:hideMark/>
          </w:tcPr>
          <w:p w14:paraId="19BAFC47"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152 </w:t>
            </w:r>
          </w:p>
        </w:tc>
        <w:tc>
          <w:tcPr>
            <w:tcW w:w="1440" w:type="dxa"/>
            <w:shd w:val="clear" w:color="auto" w:fill="auto"/>
            <w:noWrap/>
            <w:vAlign w:val="center"/>
            <w:hideMark/>
          </w:tcPr>
          <w:p w14:paraId="356CEE36"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84%</w:t>
            </w:r>
          </w:p>
        </w:tc>
        <w:tc>
          <w:tcPr>
            <w:tcW w:w="1170" w:type="dxa"/>
            <w:shd w:val="clear" w:color="auto" w:fill="auto"/>
            <w:noWrap/>
            <w:vAlign w:val="center"/>
            <w:hideMark/>
          </w:tcPr>
          <w:p w14:paraId="2EFB4CDC"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1,392 </w:t>
            </w:r>
          </w:p>
        </w:tc>
      </w:tr>
      <w:tr w:rsidR="00C055F6" w:rsidRPr="0081572A" w14:paraId="04186898" w14:textId="77777777" w:rsidTr="001232D8">
        <w:trPr>
          <w:trHeight w:val="315"/>
        </w:trPr>
        <w:tc>
          <w:tcPr>
            <w:tcW w:w="2790" w:type="dxa"/>
            <w:shd w:val="clear" w:color="auto" w:fill="auto"/>
            <w:noWrap/>
            <w:vAlign w:val="center"/>
            <w:hideMark/>
          </w:tcPr>
          <w:p w14:paraId="6240518D"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New York</w:t>
            </w:r>
          </w:p>
        </w:tc>
        <w:tc>
          <w:tcPr>
            <w:tcW w:w="990" w:type="dxa"/>
            <w:shd w:val="clear" w:color="auto" w:fill="auto"/>
            <w:noWrap/>
            <w:vAlign w:val="center"/>
            <w:hideMark/>
          </w:tcPr>
          <w:p w14:paraId="5885710D"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67 </w:t>
            </w:r>
          </w:p>
        </w:tc>
        <w:tc>
          <w:tcPr>
            <w:tcW w:w="1260" w:type="dxa"/>
            <w:shd w:val="clear" w:color="auto" w:fill="auto"/>
            <w:noWrap/>
            <w:vAlign w:val="center"/>
            <w:hideMark/>
          </w:tcPr>
          <w:p w14:paraId="124EEFF8"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58 </w:t>
            </w:r>
          </w:p>
        </w:tc>
        <w:tc>
          <w:tcPr>
            <w:tcW w:w="1440" w:type="dxa"/>
            <w:shd w:val="clear" w:color="auto" w:fill="auto"/>
            <w:noWrap/>
            <w:vAlign w:val="center"/>
            <w:hideMark/>
          </w:tcPr>
          <w:p w14:paraId="7958B450"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149 </w:t>
            </w:r>
          </w:p>
        </w:tc>
        <w:tc>
          <w:tcPr>
            <w:tcW w:w="1440" w:type="dxa"/>
            <w:shd w:val="clear" w:color="auto" w:fill="auto"/>
            <w:noWrap/>
            <w:vAlign w:val="center"/>
            <w:hideMark/>
          </w:tcPr>
          <w:p w14:paraId="5B0A5C3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87%</w:t>
            </w:r>
          </w:p>
        </w:tc>
        <w:tc>
          <w:tcPr>
            <w:tcW w:w="1170" w:type="dxa"/>
            <w:shd w:val="clear" w:color="auto" w:fill="auto"/>
            <w:noWrap/>
            <w:vAlign w:val="center"/>
            <w:hideMark/>
          </w:tcPr>
          <w:p w14:paraId="3781A80A"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1,478 </w:t>
            </w:r>
          </w:p>
        </w:tc>
      </w:tr>
      <w:tr w:rsidR="00C055F6" w:rsidRPr="0081572A" w14:paraId="2E55BA7E" w14:textId="77777777" w:rsidTr="001232D8">
        <w:trPr>
          <w:trHeight w:val="315"/>
        </w:trPr>
        <w:tc>
          <w:tcPr>
            <w:tcW w:w="2790" w:type="dxa"/>
            <w:shd w:val="clear" w:color="auto" w:fill="auto"/>
            <w:noWrap/>
            <w:vAlign w:val="center"/>
            <w:hideMark/>
          </w:tcPr>
          <w:p w14:paraId="37714458"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South Carolina</w:t>
            </w:r>
          </w:p>
        </w:tc>
        <w:tc>
          <w:tcPr>
            <w:tcW w:w="990" w:type="dxa"/>
            <w:shd w:val="clear" w:color="auto" w:fill="auto"/>
            <w:noWrap/>
            <w:vAlign w:val="center"/>
            <w:hideMark/>
          </w:tcPr>
          <w:p w14:paraId="0F57B57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30 </w:t>
            </w:r>
          </w:p>
        </w:tc>
        <w:tc>
          <w:tcPr>
            <w:tcW w:w="1260" w:type="dxa"/>
            <w:shd w:val="clear" w:color="auto" w:fill="auto"/>
            <w:noWrap/>
            <w:vAlign w:val="center"/>
            <w:hideMark/>
          </w:tcPr>
          <w:p w14:paraId="32DA6E3A"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24 </w:t>
            </w:r>
          </w:p>
        </w:tc>
        <w:tc>
          <w:tcPr>
            <w:tcW w:w="1440" w:type="dxa"/>
            <w:shd w:val="clear" w:color="auto" w:fill="auto"/>
            <w:noWrap/>
            <w:vAlign w:val="center"/>
            <w:hideMark/>
          </w:tcPr>
          <w:p w14:paraId="00C37D8B"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145 </w:t>
            </w:r>
          </w:p>
        </w:tc>
        <w:tc>
          <w:tcPr>
            <w:tcW w:w="1440" w:type="dxa"/>
            <w:shd w:val="clear" w:color="auto" w:fill="auto"/>
            <w:noWrap/>
            <w:vAlign w:val="center"/>
            <w:hideMark/>
          </w:tcPr>
          <w:p w14:paraId="66B3E222"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91%</w:t>
            </w:r>
          </w:p>
        </w:tc>
        <w:tc>
          <w:tcPr>
            <w:tcW w:w="1170" w:type="dxa"/>
            <w:shd w:val="clear" w:color="auto" w:fill="auto"/>
            <w:noWrap/>
            <w:vAlign w:val="center"/>
            <w:hideMark/>
          </w:tcPr>
          <w:p w14:paraId="1DF72BBD"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717 </w:t>
            </w:r>
          </w:p>
        </w:tc>
      </w:tr>
      <w:tr w:rsidR="00C055F6" w:rsidRPr="0081572A" w14:paraId="51E0095C" w14:textId="77777777" w:rsidTr="001232D8">
        <w:trPr>
          <w:trHeight w:val="315"/>
        </w:trPr>
        <w:tc>
          <w:tcPr>
            <w:tcW w:w="2790" w:type="dxa"/>
            <w:shd w:val="clear" w:color="auto" w:fill="auto"/>
            <w:noWrap/>
            <w:vAlign w:val="center"/>
            <w:hideMark/>
          </w:tcPr>
          <w:p w14:paraId="29E03C88"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Georgia</w:t>
            </w:r>
          </w:p>
        </w:tc>
        <w:tc>
          <w:tcPr>
            <w:tcW w:w="990" w:type="dxa"/>
            <w:shd w:val="clear" w:color="auto" w:fill="auto"/>
            <w:noWrap/>
            <w:vAlign w:val="center"/>
            <w:hideMark/>
          </w:tcPr>
          <w:p w14:paraId="1A7EEF32"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25 </w:t>
            </w:r>
          </w:p>
        </w:tc>
        <w:tc>
          <w:tcPr>
            <w:tcW w:w="1260" w:type="dxa"/>
            <w:shd w:val="clear" w:color="auto" w:fill="auto"/>
            <w:noWrap/>
            <w:vAlign w:val="center"/>
            <w:hideMark/>
          </w:tcPr>
          <w:p w14:paraId="12AB1713"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23 </w:t>
            </w:r>
          </w:p>
        </w:tc>
        <w:tc>
          <w:tcPr>
            <w:tcW w:w="1440" w:type="dxa"/>
            <w:shd w:val="clear" w:color="auto" w:fill="auto"/>
            <w:noWrap/>
            <w:vAlign w:val="center"/>
            <w:hideMark/>
          </w:tcPr>
          <w:p w14:paraId="48A0F970"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120 </w:t>
            </w:r>
          </w:p>
        </w:tc>
        <w:tc>
          <w:tcPr>
            <w:tcW w:w="1440" w:type="dxa"/>
            <w:shd w:val="clear" w:color="auto" w:fill="auto"/>
            <w:noWrap/>
            <w:vAlign w:val="center"/>
            <w:hideMark/>
          </w:tcPr>
          <w:p w14:paraId="628E06B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76%</w:t>
            </w:r>
          </w:p>
        </w:tc>
        <w:tc>
          <w:tcPr>
            <w:tcW w:w="1170" w:type="dxa"/>
            <w:shd w:val="clear" w:color="auto" w:fill="auto"/>
            <w:noWrap/>
            <w:vAlign w:val="center"/>
            <w:hideMark/>
          </w:tcPr>
          <w:p w14:paraId="7DA584AE"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1,827 </w:t>
            </w:r>
          </w:p>
        </w:tc>
      </w:tr>
      <w:tr w:rsidR="00C055F6" w:rsidRPr="0081572A" w14:paraId="7D46CF41" w14:textId="77777777" w:rsidTr="001232D8">
        <w:trPr>
          <w:trHeight w:val="315"/>
        </w:trPr>
        <w:tc>
          <w:tcPr>
            <w:tcW w:w="2790" w:type="dxa"/>
            <w:shd w:val="clear" w:color="auto" w:fill="auto"/>
            <w:noWrap/>
            <w:vAlign w:val="center"/>
            <w:hideMark/>
          </w:tcPr>
          <w:p w14:paraId="1AD3FBE5" w14:textId="77777777" w:rsidR="00C055F6" w:rsidRPr="0081572A" w:rsidRDefault="00C055F6" w:rsidP="00615183">
            <w:pPr>
              <w:pStyle w:val="ListParagraph"/>
              <w:numPr>
                <w:ilvl w:val="0"/>
                <w:numId w:val="4"/>
              </w:numPr>
              <w:tabs>
                <w:tab w:val="left" w:pos="342"/>
              </w:tabs>
              <w:spacing w:before="40" w:after="40" w:line="276" w:lineRule="auto"/>
              <w:ind w:left="342"/>
              <w:contextualSpacing w:val="0"/>
              <w:rPr>
                <w:rFonts w:ascii="Lato" w:eastAsia="Times New Roman" w:hAnsi="Lato" w:cstheme="minorHAnsi"/>
                <w:sz w:val="21"/>
                <w:szCs w:val="21"/>
              </w:rPr>
            </w:pPr>
            <w:r w:rsidRPr="00883301">
              <w:rPr>
                <w:rFonts w:ascii="Lato" w:eastAsia="Times New Roman" w:hAnsi="Lato" w:cstheme="minorHAnsi"/>
                <w:sz w:val="21"/>
                <w:szCs w:val="21"/>
                <w:lang w:eastAsia="ko-KR"/>
              </w:rPr>
              <w:t>Pennsylvania</w:t>
            </w:r>
          </w:p>
        </w:tc>
        <w:tc>
          <w:tcPr>
            <w:tcW w:w="990" w:type="dxa"/>
            <w:shd w:val="clear" w:color="auto" w:fill="auto"/>
            <w:noWrap/>
            <w:vAlign w:val="center"/>
            <w:hideMark/>
          </w:tcPr>
          <w:p w14:paraId="51734221"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56 </w:t>
            </w:r>
          </w:p>
        </w:tc>
        <w:tc>
          <w:tcPr>
            <w:tcW w:w="1260" w:type="dxa"/>
            <w:shd w:val="clear" w:color="auto" w:fill="auto"/>
            <w:noWrap/>
            <w:vAlign w:val="center"/>
            <w:hideMark/>
          </w:tcPr>
          <w:p w14:paraId="4DBCBFD5"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43 </w:t>
            </w:r>
          </w:p>
        </w:tc>
        <w:tc>
          <w:tcPr>
            <w:tcW w:w="1440" w:type="dxa"/>
            <w:shd w:val="clear" w:color="auto" w:fill="auto"/>
            <w:noWrap/>
            <w:vAlign w:val="center"/>
            <w:hideMark/>
          </w:tcPr>
          <w:p w14:paraId="5D183208"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104 </w:t>
            </w:r>
          </w:p>
        </w:tc>
        <w:tc>
          <w:tcPr>
            <w:tcW w:w="1440" w:type="dxa"/>
            <w:shd w:val="clear" w:color="auto" w:fill="auto"/>
            <w:noWrap/>
            <w:vAlign w:val="center"/>
            <w:hideMark/>
          </w:tcPr>
          <w:p w14:paraId="04444D14"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82%</w:t>
            </w:r>
          </w:p>
        </w:tc>
        <w:tc>
          <w:tcPr>
            <w:tcW w:w="1170" w:type="dxa"/>
            <w:shd w:val="clear" w:color="auto" w:fill="auto"/>
            <w:noWrap/>
            <w:vAlign w:val="center"/>
            <w:hideMark/>
          </w:tcPr>
          <w:p w14:paraId="4B4DA885" w14:textId="77777777" w:rsidR="00C055F6" w:rsidRPr="0081572A" w:rsidRDefault="00C055F6" w:rsidP="001232D8">
            <w:pPr>
              <w:spacing w:before="40" w:after="40" w:line="276" w:lineRule="auto"/>
              <w:jc w:val="right"/>
              <w:rPr>
                <w:rFonts w:ascii="Lato" w:eastAsia="Times New Roman" w:hAnsi="Lato" w:cstheme="minorHAnsi"/>
                <w:sz w:val="21"/>
                <w:szCs w:val="21"/>
                <w:lang w:eastAsia="ko-KR"/>
              </w:rPr>
            </w:pPr>
            <w:r w:rsidRPr="00883301">
              <w:rPr>
                <w:rFonts w:ascii="Lato" w:eastAsia="Times New Roman" w:hAnsi="Lato" w:cs="Calibri"/>
                <w:sz w:val="21"/>
                <w:szCs w:val="21"/>
              </w:rPr>
              <w:t xml:space="preserve"> 1,051 </w:t>
            </w:r>
          </w:p>
        </w:tc>
      </w:tr>
    </w:tbl>
    <w:p w14:paraId="21E596CA" w14:textId="42340D73" w:rsidR="007C279B" w:rsidRPr="00D47436" w:rsidRDefault="007C279B" w:rsidP="007C279B">
      <w:pPr>
        <w:pStyle w:val="Heading2"/>
        <w:spacing w:before="240"/>
      </w:pPr>
      <w:bookmarkStart w:id="21" w:name="_Toc102116145"/>
      <w:r>
        <w:t>Universal TA of Note in the 2</w:t>
      </w:r>
      <w:r w:rsidRPr="007C279B">
        <w:rPr>
          <w:vertAlign w:val="superscript"/>
        </w:rPr>
        <w:t>nd</w:t>
      </w:r>
      <w:r>
        <w:t xml:space="preserve"> Quarter:</w:t>
      </w:r>
      <w:bookmarkEnd w:id="21"/>
    </w:p>
    <w:p w14:paraId="72E849C7" w14:textId="77777777" w:rsidR="00C055F6" w:rsidRDefault="00C055F6" w:rsidP="00615183">
      <w:pPr>
        <w:pStyle w:val="ListParagraph"/>
        <w:numPr>
          <w:ilvl w:val="0"/>
          <w:numId w:val="15"/>
        </w:numPr>
        <w:spacing w:before="120" w:after="120"/>
        <w:contextualSpacing w:val="0"/>
      </w:pPr>
      <w:r>
        <w:t xml:space="preserve">The NCSRC had a national zoom training to introduce the SRC training series we developed to their membership. The following SRC's are using this to help onboard their new members. New Mexico, Wisconsin, Washington, Pennsylvania, Connecticut, NC, Iowa, and Delaware. 36 total </w:t>
      </w:r>
    </w:p>
    <w:p w14:paraId="546353AD" w14:textId="77777777" w:rsidR="00C055F6" w:rsidRDefault="00C055F6" w:rsidP="00615183">
      <w:pPr>
        <w:pStyle w:val="ListParagraph"/>
        <w:numPr>
          <w:ilvl w:val="0"/>
          <w:numId w:val="15"/>
        </w:numPr>
        <w:spacing w:before="120" w:after="120"/>
        <w:contextualSpacing w:val="0"/>
      </w:pPr>
      <w:r>
        <w:t>Presented to the national community of practice of SVRA training coordinators on the QM and the multiple initiatives we have. 60 people total.</w:t>
      </w:r>
    </w:p>
    <w:p w14:paraId="018DF27C" w14:textId="77777777" w:rsidR="00C055F6" w:rsidRDefault="00C055F6" w:rsidP="00615183">
      <w:pPr>
        <w:pStyle w:val="ListParagraph"/>
        <w:numPr>
          <w:ilvl w:val="0"/>
          <w:numId w:val="15"/>
        </w:numPr>
        <w:spacing w:before="120" w:after="120"/>
        <w:contextualSpacing w:val="0"/>
      </w:pPr>
      <w:r>
        <w:t>Worked in collaboration with John Walsh from the Center for Innovation Training in Vocational Rehabilitation (CIT-VR) to develop and facilitate a training on coaching strategies for performance excellence and organizational effectiveness. This is available to all agencies and staff.</w:t>
      </w:r>
    </w:p>
    <w:p w14:paraId="3D9C4255" w14:textId="77777777" w:rsidR="00C055F6" w:rsidRDefault="00C055F6" w:rsidP="00615183">
      <w:pPr>
        <w:pStyle w:val="ListParagraph"/>
        <w:numPr>
          <w:ilvl w:val="0"/>
          <w:numId w:val="15"/>
        </w:numPr>
        <w:spacing w:before="120" w:after="120"/>
        <w:contextualSpacing w:val="0"/>
      </w:pPr>
      <w:r>
        <w:t>Completed a universal tool to use as agencies develop blind and general agency agreements.</w:t>
      </w:r>
    </w:p>
    <w:p w14:paraId="2EA99511" w14:textId="77777777" w:rsidR="00C055F6" w:rsidRDefault="00C055F6" w:rsidP="00615183">
      <w:pPr>
        <w:pStyle w:val="ListParagraph"/>
        <w:numPr>
          <w:ilvl w:val="0"/>
          <w:numId w:val="15"/>
        </w:numPr>
        <w:spacing w:before="120" w:after="120"/>
        <w:contextualSpacing w:val="0"/>
      </w:pPr>
      <w:r>
        <w:t xml:space="preserve">New York State Legislature - contacted by our partners at Cornell and was asked to review proposed bill which resulted in a call with them to discuss recommendations </w:t>
      </w:r>
      <w:proofErr w:type="gramStart"/>
      <w:r>
        <w:t>in order for</w:t>
      </w:r>
      <w:proofErr w:type="gramEnd"/>
      <w:r>
        <w:t xml:space="preserve"> the bill to not conflict with federal legislation - bill aims to require VR and or ED to pay for vended services during the school day.</w:t>
      </w:r>
    </w:p>
    <w:p w14:paraId="3AC8787B" w14:textId="77777777" w:rsidR="00C055F6" w:rsidRDefault="00C055F6" w:rsidP="00615183">
      <w:pPr>
        <w:pStyle w:val="ListParagraph"/>
        <w:numPr>
          <w:ilvl w:val="0"/>
          <w:numId w:val="15"/>
        </w:numPr>
        <w:spacing w:before="120" w:after="120"/>
        <w:contextualSpacing w:val="0"/>
      </w:pPr>
      <w:r>
        <w:t xml:space="preserve">We developed a tool for VR directors to use when reviewing the RSA </w:t>
      </w:r>
      <w:proofErr w:type="gramStart"/>
      <w:r>
        <w:t>17</w:t>
      </w:r>
      <w:proofErr w:type="gramEnd"/>
      <w:r>
        <w:t xml:space="preserve"> so they understand what they are signing.</w:t>
      </w:r>
    </w:p>
    <w:p w14:paraId="37C2CF37" w14:textId="01DE2E74" w:rsidR="00C055F6" w:rsidRDefault="00C055F6" w:rsidP="00615183">
      <w:pPr>
        <w:pStyle w:val="ListParagraph"/>
        <w:numPr>
          <w:ilvl w:val="0"/>
          <w:numId w:val="15"/>
        </w:numPr>
        <w:spacing w:before="120" w:after="120"/>
        <w:contextualSpacing w:val="0"/>
      </w:pPr>
      <w:r>
        <w:t>We presented as the Leadership Forum- Five Greatest Fiscal Challenges Facing – 202 people present.</w:t>
      </w:r>
    </w:p>
    <w:p w14:paraId="43A8D848" w14:textId="550275B2" w:rsidR="008F2CF6" w:rsidRDefault="008F2CF6" w:rsidP="00615183">
      <w:pPr>
        <w:pStyle w:val="ListParagraph"/>
        <w:numPr>
          <w:ilvl w:val="0"/>
          <w:numId w:val="15"/>
        </w:numPr>
        <w:spacing w:before="120" w:after="120"/>
        <w:contextualSpacing w:val="0"/>
      </w:pPr>
      <w:r>
        <w:t>We created 13 podcasts, resulting in more than 1,876 downloads.</w:t>
      </w:r>
    </w:p>
    <w:p w14:paraId="5EAF698B" w14:textId="77777777" w:rsidR="006E6A05" w:rsidRDefault="00000000" w:rsidP="00226A3F">
      <w:pPr>
        <w:pStyle w:val="NoSpacing"/>
      </w:pPr>
      <w:r>
        <w:rPr>
          <w:b/>
        </w:rPr>
        <w:pict w14:anchorId="7840B142">
          <v:rect id="_x0000_i1032" style="width:0;height:1.5pt" o:hralign="center" o:hrstd="t" o:hr="t" fillcolor="#a0a0a0" stroked="f"/>
        </w:pict>
      </w:r>
    </w:p>
    <w:p w14:paraId="0A70DB48" w14:textId="77777777" w:rsidR="00D015B0" w:rsidRDefault="00D015B0">
      <w:r>
        <w:br w:type="page"/>
      </w:r>
    </w:p>
    <w:p w14:paraId="60250DF1" w14:textId="090D263D" w:rsidR="003B6D43" w:rsidRPr="009C6E5E" w:rsidRDefault="003B6D43" w:rsidP="00AF5BF7">
      <w:pPr>
        <w:pStyle w:val="Heading1"/>
      </w:pPr>
      <w:bookmarkStart w:id="22" w:name="_Toc102116146"/>
      <w:r w:rsidRPr="009C6E5E">
        <w:lastRenderedPageBreak/>
        <w:t>Collaboration with other TA Centers</w:t>
      </w:r>
      <w:bookmarkEnd w:id="22"/>
    </w:p>
    <w:p w14:paraId="3F56C151" w14:textId="3C3BEE7A" w:rsidR="007A3C6F" w:rsidRDefault="007A3C6F" w:rsidP="007A3C6F">
      <w:pPr>
        <w:spacing w:before="120" w:after="120" w:line="276" w:lineRule="auto"/>
      </w:pPr>
      <w:r>
        <w:t>We continue to lead collaboration efforts among the TA Centers as evidence by the following:</w:t>
      </w:r>
    </w:p>
    <w:p w14:paraId="2ECADEBC" w14:textId="676548C2" w:rsidR="007A3C6F" w:rsidRDefault="007A3C6F" w:rsidP="00615183">
      <w:pPr>
        <w:pStyle w:val="ListParagraph"/>
        <w:numPr>
          <w:ilvl w:val="0"/>
          <w:numId w:val="6"/>
        </w:numPr>
        <w:spacing w:before="120" w:after="120" w:line="276" w:lineRule="auto"/>
        <w:contextualSpacing w:val="0"/>
      </w:pPr>
      <w:r>
        <w:t xml:space="preserve">We have joint ITAAs with the NTACT:C in three agencies: Kansas, </w:t>
      </w:r>
      <w:proofErr w:type="gramStart"/>
      <w:r>
        <w:t>Pennsylvania</w:t>
      </w:r>
      <w:proofErr w:type="gramEnd"/>
      <w:r>
        <w:t xml:space="preserve"> and Hawaii (in the 3</w:t>
      </w:r>
      <w:r w:rsidRPr="007A3C6F">
        <w:rPr>
          <w:vertAlign w:val="superscript"/>
        </w:rPr>
        <w:t>rd</w:t>
      </w:r>
      <w:r>
        <w:t xml:space="preserve"> Q).</w:t>
      </w:r>
    </w:p>
    <w:p w14:paraId="5C0B0994" w14:textId="0FB7F9E8" w:rsidR="007600EA" w:rsidRDefault="007600EA" w:rsidP="00615183">
      <w:pPr>
        <w:pStyle w:val="ListParagraph"/>
        <w:numPr>
          <w:ilvl w:val="0"/>
          <w:numId w:val="6"/>
        </w:numPr>
        <w:spacing w:before="120" w:after="120" w:line="276" w:lineRule="auto"/>
        <w:contextualSpacing w:val="0"/>
      </w:pPr>
      <w:r>
        <w:t xml:space="preserve">We </w:t>
      </w:r>
      <w:r w:rsidR="007A3C6F">
        <w:t xml:space="preserve">work closely with the CIT-VR for multiple trainings including supervisor training and webinars, the monitoring </w:t>
      </w:r>
      <w:proofErr w:type="gramStart"/>
      <w:r w:rsidR="007A3C6F">
        <w:t>CoP</w:t>
      </w:r>
      <w:proofErr w:type="gramEnd"/>
      <w:r w:rsidR="007A3C6F">
        <w:t xml:space="preserve"> and others</w:t>
      </w:r>
      <w:r>
        <w:t>.</w:t>
      </w:r>
    </w:p>
    <w:p w14:paraId="2E7B6C27" w14:textId="644614D2" w:rsidR="007600EA" w:rsidRDefault="007600EA" w:rsidP="00615183">
      <w:pPr>
        <w:pStyle w:val="ListParagraph"/>
        <w:numPr>
          <w:ilvl w:val="0"/>
          <w:numId w:val="6"/>
        </w:numPr>
        <w:spacing w:before="120" w:after="120" w:line="276" w:lineRule="auto"/>
        <w:contextualSpacing w:val="0"/>
      </w:pPr>
      <w:r>
        <w:t xml:space="preserve">We developed </w:t>
      </w:r>
      <w:r w:rsidR="002C5EDC">
        <w:t>joint webinars with the NTACT:C:</w:t>
      </w:r>
    </w:p>
    <w:p w14:paraId="4FF0D189" w14:textId="04607FC8" w:rsidR="007600EA" w:rsidRDefault="002C5EDC" w:rsidP="00615183">
      <w:pPr>
        <w:pStyle w:val="ListParagraph"/>
        <w:numPr>
          <w:ilvl w:val="0"/>
          <w:numId w:val="6"/>
        </w:numPr>
        <w:spacing w:before="120" w:after="120" w:line="276" w:lineRule="auto"/>
        <w:contextualSpacing w:val="0"/>
      </w:pPr>
      <w:r>
        <w:t>We meet with the VRTAC-QE on a bi-weekly basis to review joint VR agencies and keep each other informed; and</w:t>
      </w:r>
    </w:p>
    <w:p w14:paraId="64A3458A" w14:textId="77777777" w:rsidR="007600EA" w:rsidRDefault="007600EA" w:rsidP="00615183">
      <w:pPr>
        <w:pStyle w:val="ListParagraph"/>
        <w:numPr>
          <w:ilvl w:val="0"/>
          <w:numId w:val="6"/>
        </w:numPr>
        <w:spacing w:before="120" w:after="120" w:line="276" w:lineRule="auto"/>
        <w:contextualSpacing w:val="0"/>
      </w:pPr>
      <w:r>
        <w:t xml:space="preserve">We continue to lead the TAC collaborative monthly calls and to meet with the VRTAC-QE </w:t>
      </w:r>
      <w:proofErr w:type="gramStart"/>
      <w:r>
        <w:t>on a monthly basis</w:t>
      </w:r>
      <w:proofErr w:type="gramEnd"/>
      <w:r>
        <w:t>.</w:t>
      </w:r>
    </w:p>
    <w:p w14:paraId="2AAD6415" w14:textId="1C9EBA2E" w:rsidR="00D015B0" w:rsidRDefault="00D015B0" w:rsidP="00D015B0">
      <w:pPr>
        <w:pStyle w:val="Heading1"/>
      </w:pPr>
      <w:bookmarkStart w:id="23" w:name="_Toc102116147"/>
      <w:r>
        <w:t>Special Projects</w:t>
      </w:r>
      <w:bookmarkEnd w:id="23"/>
    </w:p>
    <w:p w14:paraId="58E5400F" w14:textId="0567FEA2" w:rsidR="002F3FE4" w:rsidRDefault="002F3FE4" w:rsidP="00D015B0">
      <w:pPr>
        <w:pStyle w:val="Style1"/>
      </w:pPr>
      <w:r>
        <w:t xml:space="preserve">This section includes information on the progress of our three special projects.  Each of these projects made progress in their </w:t>
      </w:r>
      <w:r w:rsidR="007600EA">
        <w:t>development in the second quarter</w:t>
      </w:r>
      <w:r>
        <w:t>.</w:t>
      </w:r>
    </w:p>
    <w:p w14:paraId="6DD775C2" w14:textId="77777777" w:rsidR="002F3FE4" w:rsidRDefault="002F3FE4" w:rsidP="002F3FE4">
      <w:pPr>
        <w:pStyle w:val="Heading2"/>
      </w:pPr>
      <w:bookmarkStart w:id="24" w:name="_Toc102116148"/>
      <w:r>
        <w:t>Community Reinvestment Act Project:</w:t>
      </w:r>
      <w:bookmarkEnd w:id="24"/>
    </w:p>
    <w:p w14:paraId="6E3BF246" w14:textId="1959FC78" w:rsidR="001126BD" w:rsidRPr="00C231E3" w:rsidRDefault="002C5EDC" w:rsidP="001126BD">
      <w:pPr>
        <w:spacing w:before="120" w:after="120" w:line="240" w:lineRule="auto"/>
      </w:pPr>
      <w:r>
        <w:t>The CRA project continues to meet with banks and SVRAs to discuss the creation of programs and the use of CRA dollars for programs to serve individuals with disabilities. NDI has made significant progress this quarter and has indicated that they believe they will have two SVRAs set up as pilots by the end of this calendar year.</w:t>
      </w:r>
    </w:p>
    <w:p w14:paraId="6D06BE39" w14:textId="77777777" w:rsidR="00D015B0" w:rsidRDefault="002F3FE4" w:rsidP="002F3FE4">
      <w:pPr>
        <w:pStyle w:val="Heading2"/>
      </w:pPr>
      <w:bookmarkStart w:id="25" w:name="_Toc102116149"/>
      <w:r>
        <w:t>SARA Project:</w:t>
      </w:r>
      <w:bookmarkEnd w:id="25"/>
    </w:p>
    <w:p w14:paraId="27582BEE" w14:textId="77777777" w:rsidR="008F2CF6" w:rsidRPr="005131DD" w:rsidRDefault="008F2CF6" w:rsidP="008F2CF6">
      <w:r w:rsidRPr="005131DD">
        <w:t>SARA (</w:t>
      </w:r>
      <w:hyperlink r:id="rId22" w:history="1">
        <w:r w:rsidRPr="005131DD">
          <w:rPr>
            <w:rStyle w:val="Hyperlink"/>
          </w:rPr>
          <w:t>https://saraworks.com</w:t>
        </w:r>
      </w:hyperlink>
      <w:r w:rsidRPr="005131DD">
        <w:t xml:space="preserve">) proved to be a great success for the WINTAC grant with all three of three pilot areas not only completing the pilots, but also expanding to state-wide usage and self-funding. </w:t>
      </w:r>
    </w:p>
    <w:p w14:paraId="7C9A0BC5" w14:textId="77777777" w:rsidR="008F2CF6" w:rsidRPr="005131DD" w:rsidRDefault="008F2CF6" w:rsidP="008F2CF6">
      <w:r w:rsidRPr="005131DD">
        <w:t xml:space="preserve">For the VRTAC QM grant, we wanted to put SARA to further use by applying it to the Ticket to Work (TTW) program. We devised a pilot program designed to increase TTW efficiencies, increase program revenues and decrease administrative work associated with the program. </w:t>
      </w:r>
    </w:p>
    <w:p w14:paraId="3CC27B41" w14:textId="77777777" w:rsidR="008F2CF6" w:rsidRPr="005131DD" w:rsidRDefault="008F2CF6" w:rsidP="008F2CF6">
      <w:r w:rsidRPr="005131DD">
        <w:t xml:space="preserve">To our surprise, although the reception of SARA has been great, not so much for the TTW program. We have approached Washington Blind. Montana, Nevada, Alaska, Mississippi, Indiana, Virginia Blind, </w:t>
      </w:r>
      <w:proofErr w:type="gramStart"/>
      <w:r w:rsidRPr="005131DD">
        <w:t>Wisconsin</w:t>
      </w:r>
      <w:proofErr w:type="gramEnd"/>
      <w:r w:rsidRPr="005131DD">
        <w:t xml:space="preserve"> and Texas and none of them have turned into pilots.  A large part of the problem appears to be that whereas states appreciate the additional TTW income, it is not a program high on anyone’s priority list. In short, it seems to be a program that whereas it is appreciated, it is not particularly popular. </w:t>
      </w:r>
    </w:p>
    <w:p w14:paraId="0BFF3BAB" w14:textId="77777777" w:rsidR="008F2CF6" w:rsidRPr="008F2CF6" w:rsidRDefault="008F2CF6" w:rsidP="008F2CF6">
      <w:pPr>
        <w:pStyle w:val="Style1"/>
        <w:rPr>
          <w:b/>
          <w:bCs/>
        </w:rPr>
      </w:pPr>
      <w:r w:rsidRPr="008F2CF6">
        <w:rPr>
          <w:b/>
          <w:bCs/>
        </w:rPr>
        <w:t>New Plan</w:t>
      </w:r>
    </w:p>
    <w:p w14:paraId="59A0B46F" w14:textId="77777777" w:rsidR="008F2CF6" w:rsidRPr="005131DD" w:rsidRDefault="008F2CF6" w:rsidP="008F2CF6">
      <w:r w:rsidRPr="005131DD">
        <w:t xml:space="preserve">Whereas we would like to better leverage the power of SARA for VR agencies within the framework of VRTAC QM, we have reconsidered the approach to states, and in particular, re-frame the SARA pilots to address current, front and center, pain points. These include: </w:t>
      </w:r>
    </w:p>
    <w:p w14:paraId="0536F1B3" w14:textId="77777777" w:rsidR="008F2CF6" w:rsidRPr="005131DD" w:rsidRDefault="008F2CF6" w:rsidP="00615183">
      <w:pPr>
        <w:pStyle w:val="ListParagraph"/>
        <w:numPr>
          <w:ilvl w:val="0"/>
          <w:numId w:val="16"/>
        </w:numPr>
      </w:pPr>
      <w:r w:rsidRPr="005131DD">
        <w:lastRenderedPageBreak/>
        <w:t>Using real-time data to shorten time in service levels</w:t>
      </w:r>
    </w:p>
    <w:p w14:paraId="27E31EAB" w14:textId="77777777" w:rsidR="008F2CF6" w:rsidRPr="005131DD" w:rsidRDefault="008F2CF6" w:rsidP="00615183">
      <w:pPr>
        <w:pStyle w:val="ListParagraph"/>
        <w:numPr>
          <w:ilvl w:val="0"/>
          <w:numId w:val="16"/>
        </w:numPr>
      </w:pPr>
      <w:r w:rsidRPr="005131DD">
        <w:t>Implementing continuous customer satisfaction surveys to improve outcomes and satisfaction levels</w:t>
      </w:r>
    </w:p>
    <w:p w14:paraId="4F1C5A44" w14:textId="77777777" w:rsidR="008F2CF6" w:rsidRPr="005131DD" w:rsidRDefault="008F2CF6" w:rsidP="00615183">
      <w:pPr>
        <w:pStyle w:val="ListParagraph"/>
        <w:numPr>
          <w:ilvl w:val="0"/>
          <w:numId w:val="16"/>
        </w:numPr>
      </w:pPr>
      <w:r w:rsidRPr="005131DD">
        <w:t>Improving quality management by introducing management to real-time performance data</w:t>
      </w:r>
    </w:p>
    <w:p w14:paraId="0DBFBBDF" w14:textId="77777777" w:rsidR="008F2CF6" w:rsidRPr="008F2CF6" w:rsidRDefault="008F2CF6" w:rsidP="008F2CF6">
      <w:pPr>
        <w:rPr>
          <w:b/>
          <w:bCs/>
        </w:rPr>
      </w:pPr>
      <w:r w:rsidRPr="008F2CF6">
        <w:rPr>
          <w:b/>
          <w:bCs/>
        </w:rPr>
        <w:t>Choosing Pilot Agencies</w:t>
      </w:r>
    </w:p>
    <w:p w14:paraId="0F971356" w14:textId="77777777" w:rsidR="008F2CF6" w:rsidRPr="005131DD" w:rsidRDefault="008F2CF6" w:rsidP="008F2CF6">
      <w:r w:rsidRPr="005131DD">
        <w:t xml:space="preserve">When we promoted the availability of SARA pilots for WINTAC, we received thirteen </w:t>
      </w:r>
      <w:proofErr w:type="gramStart"/>
      <w:r w:rsidRPr="005131DD">
        <w:t>application</w:t>
      </w:r>
      <w:proofErr w:type="gramEnd"/>
      <w:r w:rsidRPr="005131DD">
        <w:t xml:space="preserve"> for three slots. The three slots were filled on a first-come, first-served basis, which is not ideal for selecting pilots where we want to show something. </w:t>
      </w:r>
    </w:p>
    <w:p w14:paraId="31CD7BFF" w14:textId="77777777" w:rsidR="008F2CF6" w:rsidRDefault="008F2CF6" w:rsidP="008F2CF6">
      <w:r w:rsidRPr="005131DD">
        <w:t xml:space="preserve">This time around we want to do it differently </w:t>
      </w:r>
      <w:proofErr w:type="gramStart"/>
      <w:r w:rsidRPr="005131DD">
        <w:t>in order to</w:t>
      </w:r>
      <w:proofErr w:type="gramEnd"/>
      <w:r w:rsidRPr="005131DD">
        <w:t xml:space="preserve"> apply lessons learned to the concept of quality management, especially as it deals with measurable outcomes. </w:t>
      </w:r>
    </w:p>
    <w:p w14:paraId="331AB07E" w14:textId="77777777" w:rsidR="008F2CF6" w:rsidRPr="005131DD" w:rsidRDefault="008F2CF6" w:rsidP="008F2CF6">
      <w:r>
        <w:t>We know that SARA can improve communication with consumers and can keep them engaged in the VR process, which helps produce better outcomes. We are asking for RSA to approve this shift in focus for the pilot projects.</w:t>
      </w:r>
    </w:p>
    <w:p w14:paraId="2AC9009A" w14:textId="3D986C62" w:rsidR="00D015B0" w:rsidRDefault="002F3FE4" w:rsidP="00587DBA">
      <w:pPr>
        <w:pStyle w:val="Heading2"/>
        <w:spacing w:before="240" w:after="240"/>
      </w:pPr>
      <w:bookmarkStart w:id="26" w:name="_Toc102116150"/>
      <w:r>
        <w:t xml:space="preserve">Employment First </w:t>
      </w:r>
      <w:r w:rsidR="00587DBA">
        <w:t>Systems Change Project:</w:t>
      </w:r>
      <w:bookmarkEnd w:id="26"/>
    </w:p>
    <w:p w14:paraId="3348963F" w14:textId="77777777" w:rsidR="00515C76" w:rsidRPr="009B6FCE" w:rsidRDefault="00515C76" w:rsidP="00515C76">
      <w:pPr>
        <w:spacing w:before="120" w:after="120"/>
      </w:pPr>
      <w:r w:rsidRPr="009B6FCE">
        <w:t xml:space="preserve">The intent of providing TA in this area is to assist </w:t>
      </w:r>
      <w:proofErr w:type="gramStart"/>
      <w:r w:rsidRPr="009B6FCE">
        <w:t>state’s</w:t>
      </w:r>
      <w:proofErr w:type="gramEnd"/>
      <w:r w:rsidRPr="009B6FCE">
        <w:t xml:space="preserve"> effectively utilize the EFS within their state to maximize the coordination, multi-partner sequencing of services and leveraging of cross-agency resources in order to achieve successful competitive integrated employment outcomes for all agencies involved.  </w:t>
      </w:r>
      <w:r w:rsidRPr="009B6FCE">
        <w:rPr>
          <w:color w:val="222222"/>
          <w:spacing w:val="3"/>
          <w:shd w:val="clear" w:color="auto" w:fill="FFFFFF"/>
        </w:rPr>
        <w:t>In the context of employment of people with disabilities, it offers a holistic, deliberate approach to examine how inter-related public and social systems work in concert to get the outcomes we all want – competitive integrated employment</w:t>
      </w:r>
      <w:r w:rsidRPr="009B6FCE">
        <w:t xml:space="preserve">.  </w:t>
      </w:r>
    </w:p>
    <w:p w14:paraId="02B8CAAE" w14:textId="77777777" w:rsidR="00515C76" w:rsidRPr="009B6FCE" w:rsidRDefault="00515C76" w:rsidP="00515C76">
      <w:pPr>
        <w:spacing w:before="120" w:after="120"/>
        <w:rPr>
          <w:b/>
        </w:rPr>
      </w:pPr>
      <w:r w:rsidRPr="009B6FCE">
        <w:rPr>
          <w:b/>
        </w:rPr>
        <w:t>Activity summary for this quarter:</w:t>
      </w:r>
    </w:p>
    <w:p w14:paraId="064415E2" w14:textId="351ECD6C" w:rsidR="00515C76" w:rsidRPr="009B6FCE" w:rsidRDefault="00515C76" w:rsidP="00615183">
      <w:pPr>
        <w:pStyle w:val="ListParagraph"/>
        <w:numPr>
          <w:ilvl w:val="0"/>
          <w:numId w:val="7"/>
        </w:numPr>
        <w:spacing w:before="120" w:after="120"/>
        <w:contextualSpacing w:val="0"/>
      </w:pPr>
      <w:r>
        <w:t>Montana work picked up significantly this quarter as their State moves to an Employment First model</w:t>
      </w:r>
      <w:r w:rsidRPr="009B6FCE">
        <w:t xml:space="preserve">. </w:t>
      </w:r>
    </w:p>
    <w:p w14:paraId="1FF73AEB" w14:textId="77777777" w:rsidR="00515C76" w:rsidRPr="00515C76" w:rsidRDefault="00515C76" w:rsidP="00615183">
      <w:pPr>
        <w:pStyle w:val="ListParagraph"/>
        <w:numPr>
          <w:ilvl w:val="0"/>
          <w:numId w:val="7"/>
        </w:numPr>
        <w:spacing w:before="120" w:after="120"/>
        <w:contextualSpacing w:val="0"/>
        <w:rPr>
          <w:b/>
        </w:rPr>
      </w:pPr>
      <w:r w:rsidRPr="009B6FCE">
        <w:t xml:space="preserve">South Carolina </w:t>
      </w:r>
      <w:r>
        <w:t>General work continues with multiple partners.</w:t>
      </w:r>
    </w:p>
    <w:p w14:paraId="3321BEA2" w14:textId="2EEEF344" w:rsidR="009422A2" w:rsidRPr="00515C76" w:rsidRDefault="00515C76" w:rsidP="00615183">
      <w:pPr>
        <w:pStyle w:val="ListParagraph"/>
        <w:numPr>
          <w:ilvl w:val="0"/>
          <w:numId w:val="7"/>
        </w:numPr>
        <w:spacing w:before="120" w:after="120"/>
        <w:contextualSpacing w:val="0"/>
        <w:rPr>
          <w:b/>
        </w:rPr>
      </w:pPr>
      <w:r>
        <w:t>Work</w:t>
      </w:r>
      <w:r w:rsidRPr="009B6FCE">
        <w:t xml:space="preserve"> with both MI General (MRS) and MI Blind Services (BSBP) </w:t>
      </w:r>
      <w:r>
        <w:t>on CE sustainability continues with the intent of strengthening the relationship between all partners.</w:t>
      </w:r>
      <w:r w:rsidR="00000000">
        <w:rPr>
          <w:b/>
        </w:rPr>
        <w:pict w14:anchorId="75B576CA">
          <v:rect id="_x0000_i1033" style="width:0;height:1.5pt" o:hralign="center" o:hrstd="t" o:hr="t" fillcolor="#a0a0a0" stroked="f"/>
        </w:pict>
      </w:r>
    </w:p>
    <w:p w14:paraId="57A1DFE0" w14:textId="42002FBE" w:rsidR="007D3F23" w:rsidRDefault="007D3F23" w:rsidP="00FC4ECB">
      <w:pPr>
        <w:pStyle w:val="Heading1"/>
      </w:pPr>
      <w:bookmarkStart w:id="27" w:name="_Toc102116151"/>
      <w:r>
        <w:t xml:space="preserve">Part 2: Significant program outcomes from </w:t>
      </w:r>
      <w:r w:rsidR="00515C76">
        <w:t>October</w:t>
      </w:r>
      <w:r>
        <w:t xml:space="preserve"> 1, </w:t>
      </w:r>
      <w:proofErr w:type="gramStart"/>
      <w:r>
        <w:t>202</w:t>
      </w:r>
      <w:r w:rsidR="00515C76">
        <w:t>1</w:t>
      </w:r>
      <w:proofErr w:type="gramEnd"/>
      <w:r>
        <w:t xml:space="preserve"> to March 31. 202</w:t>
      </w:r>
      <w:r w:rsidR="00515C76">
        <w:t>2</w:t>
      </w:r>
      <w:bookmarkEnd w:id="27"/>
    </w:p>
    <w:p w14:paraId="7951D616" w14:textId="2F8FE878" w:rsidR="0009254C" w:rsidRDefault="00633039" w:rsidP="00D015B0">
      <w:pPr>
        <w:pStyle w:val="Style1"/>
      </w:pPr>
      <w:r>
        <w:t xml:space="preserve">Table </w:t>
      </w:r>
      <w:r w:rsidR="0009254C">
        <w:t>3</w:t>
      </w:r>
      <w:r>
        <w:t xml:space="preserve"> contains </w:t>
      </w:r>
      <w:r w:rsidR="0009254C">
        <w:t xml:space="preserve">the </w:t>
      </w:r>
      <w:proofErr w:type="gramStart"/>
      <w:r w:rsidR="0009254C">
        <w:t>current status</w:t>
      </w:r>
      <w:proofErr w:type="gramEnd"/>
      <w:r w:rsidR="0009254C">
        <w:t xml:space="preserve"> of the VRTAC-QM’s progress in meeting the work plan goals and objectives for Year 2</w:t>
      </w:r>
      <w:r>
        <w:t>.</w:t>
      </w:r>
      <w:r w:rsidR="0009254C">
        <w:t xml:space="preserve"> Where the goals are not met, there will be a discussion of why following. Please note that we added several deliverables in this work plan that were not identified when this was submitted originally. These represent significant products that we felt was important to include in this report.</w:t>
      </w:r>
    </w:p>
    <w:p w14:paraId="54AF3093" w14:textId="77777777" w:rsidR="0009254C" w:rsidRDefault="0009254C">
      <w:r>
        <w:br w:type="page"/>
      </w:r>
    </w:p>
    <w:p w14:paraId="15F7E3F6" w14:textId="2F185CDC" w:rsidR="007D3F23" w:rsidRDefault="0009254C" w:rsidP="0009254C">
      <w:pPr>
        <w:pStyle w:val="NoSpacing"/>
      </w:pPr>
      <w:r>
        <w:lastRenderedPageBreak/>
        <w:t>Table 3</w:t>
      </w:r>
    </w:p>
    <w:p w14:paraId="2D169144" w14:textId="1759CB98" w:rsidR="0009254C" w:rsidRPr="0009254C" w:rsidRDefault="0009254C" w:rsidP="0009254C">
      <w:pPr>
        <w:pStyle w:val="NoSpacing"/>
        <w:rPr>
          <w:i/>
          <w:iCs/>
        </w:rPr>
      </w:pPr>
      <w:r w:rsidRPr="0009254C">
        <w:rPr>
          <w:i/>
          <w:iCs/>
        </w:rPr>
        <w:t>Current Work Plan Status as of March 31, 2022</w:t>
      </w:r>
    </w:p>
    <w:tbl>
      <w:tblPr>
        <w:tblW w:w="9340" w:type="dxa"/>
        <w:tblLook w:val="04A0" w:firstRow="1" w:lastRow="0" w:firstColumn="1" w:lastColumn="0" w:noHBand="0" w:noVBand="1"/>
      </w:tblPr>
      <w:tblGrid>
        <w:gridCol w:w="3520"/>
        <w:gridCol w:w="3400"/>
        <w:gridCol w:w="2420"/>
      </w:tblGrid>
      <w:tr w:rsidR="0009254C" w:rsidRPr="0009254C" w14:paraId="1953B36F" w14:textId="77777777" w:rsidTr="0009254C">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60362C70" w14:textId="77777777" w:rsidR="0009254C" w:rsidRPr="0009254C" w:rsidRDefault="0009254C" w:rsidP="0009254C">
            <w:pPr>
              <w:spacing w:after="0" w:line="240" w:lineRule="auto"/>
              <w:jc w:val="center"/>
              <w:rPr>
                <w:rFonts w:eastAsia="Times New Roman"/>
                <w:b/>
                <w:bCs/>
                <w:color w:val="000000"/>
              </w:rPr>
            </w:pPr>
            <w:r w:rsidRPr="0009254C">
              <w:rPr>
                <w:rFonts w:eastAsia="Times New Roman"/>
                <w:b/>
                <w:bCs/>
                <w:color w:val="000000"/>
              </w:rPr>
              <w:t>Year 2 Semi-Annual Report on Work Plan Progress</w:t>
            </w:r>
          </w:p>
        </w:tc>
      </w:tr>
      <w:tr w:rsidR="0009254C" w:rsidRPr="0009254C" w14:paraId="0CFC175E" w14:textId="77777777" w:rsidTr="0009254C">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3B176EA2" w14:textId="77777777" w:rsidR="0009254C" w:rsidRPr="0009254C" w:rsidRDefault="0009254C" w:rsidP="0009254C">
            <w:pPr>
              <w:spacing w:after="0" w:line="240" w:lineRule="auto"/>
              <w:rPr>
                <w:rFonts w:eastAsia="Times New Roman"/>
                <w:b/>
                <w:bCs/>
                <w:color w:val="000000"/>
              </w:rPr>
            </w:pPr>
            <w:r w:rsidRPr="0009254C">
              <w:rPr>
                <w:rFonts w:eastAsia="Times New Roman"/>
                <w:b/>
                <w:bCs/>
                <w:color w:val="000000"/>
              </w:rPr>
              <w:t>Domain: Knowledge Development</w:t>
            </w:r>
          </w:p>
        </w:tc>
      </w:tr>
      <w:tr w:rsidR="0009254C" w:rsidRPr="0009254C" w14:paraId="298B9E86" w14:textId="77777777" w:rsidTr="0009254C">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3E1934CF" w14:textId="77777777" w:rsidR="0009254C" w:rsidRPr="0009254C" w:rsidRDefault="0009254C" w:rsidP="0009254C">
            <w:pPr>
              <w:spacing w:after="0" w:line="240" w:lineRule="auto"/>
              <w:jc w:val="center"/>
              <w:rPr>
                <w:rFonts w:eastAsia="Times New Roman"/>
                <w:b/>
                <w:bCs/>
                <w:color w:val="FFFFFF"/>
              </w:rPr>
            </w:pPr>
            <w:bookmarkStart w:id="28" w:name="_Hlk102053011"/>
            <w:r w:rsidRPr="0009254C">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680BC3DC"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2665C6E2"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Status</w:t>
            </w:r>
          </w:p>
        </w:tc>
      </w:tr>
      <w:bookmarkEnd w:id="28"/>
      <w:tr w:rsidR="0009254C" w:rsidRPr="0009254C" w14:paraId="798D35BC" w14:textId="77777777" w:rsidTr="0009254C">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C4D4D0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Develop the Cooperative Agreement with RSA</w:t>
            </w:r>
          </w:p>
        </w:tc>
        <w:tc>
          <w:tcPr>
            <w:tcW w:w="3400" w:type="dxa"/>
            <w:tcBorders>
              <w:top w:val="nil"/>
              <w:left w:val="nil"/>
              <w:bottom w:val="single" w:sz="4" w:space="0" w:color="auto"/>
              <w:right w:val="single" w:sz="4" w:space="0" w:color="auto"/>
            </w:tcBorders>
            <w:shd w:val="clear" w:color="auto" w:fill="auto"/>
            <w:vAlign w:val="center"/>
            <w:hideMark/>
          </w:tcPr>
          <w:p w14:paraId="6C90D0E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Cooperative Agreement</w:t>
            </w:r>
          </w:p>
        </w:tc>
        <w:tc>
          <w:tcPr>
            <w:tcW w:w="2420" w:type="dxa"/>
            <w:tcBorders>
              <w:top w:val="nil"/>
              <w:left w:val="nil"/>
              <w:bottom w:val="single" w:sz="4" w:space="0" w:color="auto"/>
              <w:right w:val="single" w:sz="4" w:space="0" w:color="auto"/>
            </w:tcBorders>
            <w:shd w:val="clear" w:color="auto" w:fill="auto"/>
            <w:vAlign w:val="center"/>
            <w:hideMark/>
          </w:tcPr>
          <w:p w14:paraId="0AABBD63"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4AB7CBF8" w14:textId="77777777" w:rsidTr="0009254C">
        <w:trPr>
          <w:trHeight w:val="3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953650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Establish website </w:t>
            </w:r>
          </w:p>
        </w:tc>
        <w:tc>
          <w:tcPr>
            <w:tcW w:w="3400" w:type="dxa"/>
            <w:tcBorders>
              <w:top w:val="nil"/>
              <w:left w:val="nil"/>
              <w:bottom w:val="single" w:sz="4" w:space="0" w:color="auto"/>
              <w:right w:val="single" w:sz="4" w:space="0" w:color="auto"/>
            </w:tcBorders>
            <w:shd w:val="clear" w:color="auto" w:fill="auto"/>
            <w:vAlign w:val="center"/>
            <w:hideMark/>
          </w:tcPr>
          <w:p w14:paraId="4F57C7E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Website launched</w:t>
            </w:r>
          </w:p>
        </w:tc>
        <w:tc>
          <w:tcPr>
            <w:tcW w:w="2420" w:type="dxa"/>
            <w:tcBorders>
              <w:top w:val="nil"/>
              <w:left w:val="nil"/>
              <w:bottom w:val="single" w:sz="4" w:space="0" w:color="auto"/>
              <w:right w:val="single" w:sz="4" w:space="0" w:color="auto"/>
            </w:tcBorders>
            <w:shd w:val="clear" w:color="auto" w:fill="auto"/>
            <w:vAlign w:val="center"/>
            <w:hideMark/>
          </w:tcPr>
          <w:p w14:paraId="759E087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641D251B" w14:textId="77777777" w:rsidTr="0009254C">
        <w:trPr>
          <w:trHeight w:val="3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818C3FC"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Establish VR Wellness Check Tool</w:t>
            </w:r>
          </w:p>
        </w:tc>
        <w:tc>
          <w:tcPr>
            <w:tcW w:w="3400" w:type="dxa"/>
            <w:tcBorders>
              <w:top w:val="nil"/>
              <w:left w:val="nil"/>
              <w:bottom w:val="single" w:sz="4" w:space="0" w:color="auto"/>
              <w:right w:val="single" w:sz="4" w:space="0" w:color="auto"/>
            </w:tcBorders>
            <w:shd w:val="clear" w:color="auto" w:fill="auto"/>
            <w:vAlign w:val="center"/>
            <w:hideMark/>
          </w:tcPr>
          <w:p w14:paraId="39235AB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Benchmark-QM complete</w:t>
            </w:r>
          </w:p>
        </w:tc>
        <w:tc>
          <w:tcPr>
            <w:tcW w:w="2420" w:type="dxa"/>
            <w:tcBorders>
              <w:top w:val="nil"/>
              <w:left w:val="nil"/>
              <w:bottom w:val="single" w:sz="4" w:space="0" w:color="auto"/>
              <w:right w:val="single" w:sz="4" w:space="0" w:color="auto"/>
            </w:tcBorders>
            <w:shd w:val="clear" w:color="auto" w:fill="auto"/>
            <w:vAlign w:val="center"/>
            <w:hideMark/>
          </w:tcPr>
          <w:p w14:paraId="1C5AD7F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75% complete</w:t>
            </w:r>
          </w:p>
        </w:tc>
      </w:tr>
      <w:tr w:rsidR="0009254C" w:rsidRPr="0009254C" w14:paraId="017B60F0" w14:textId="77777777" w:rsidTr="0009254C">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D2563FC"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Survey all SVRAs on QM needs and priorities</w:t>
            </w:r>
          </w:p>
        </w:tc>
        <w:tc>
          <w:tcPr>
            <w:tcW w:w="3400" w:type="dxa"/>
            <w:tcBorders>
              <w:top w:val="nil"/>
              <w:left w:val="nil"/>
              <w:bottom w:val="single" w:sz="4" w:space="0" w:color="auto"/>
              <w:right w:val="single" w:sz="4" w:space="0" w:color="auto"/>
            </w:tcBorders>
            <w:shd w:val="clear" w:color="auto" w:fill="auto"/>
            <w:vAlign w:val="center"/>
            <w:hideMark/>
          </w:tcPr>
          <w:p w14:paraId="2E7998F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Survey completed</w:t>
            </w:r>
          </w:p>
        </w:tc>
        <w:tc>
          <w:tcPr>
            <w:tcW w:w="2420" w:type="dxa"/>
            <w:tcBorders>
              <w:top w:val="nil"/>
              <w:left w:val="nil"/>
              <w:bottom w:val="single" w:sz="4" w:space="0" w:color="auto"/>
              <w:right w:val="single" w:sz="4" w:space="0" w:color="auto"/>
            </w:tcBorders>
            <w:shd w:val="clear" w:color="auto" w:fill="auto"/>
            <w:vAlign w:val="center"/>
            <w:hideMark/>
          </w:tcPr>
          <w:p w14:paraId="09EDC3C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4F5E6B6B" w14:textId="77777777" w:rsidTr="0009254C">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4295E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Comprehensive Review of quality management program and fiscal strategies and practices </w:t>
            </w:r>
          </w:p>
        </w:tc>
        <w:tc>
          <w:tcPr>
            <w:tcW w:w="3400" w:type="dxa"/>
            <w:tcBorders>
              <w:top w:val="nil"/>
              <w:left w:val="nil"/>
              <w:bottom w:val="single" w:sz="4" w:space="0" w:color="auto"/>
              <w:right w:val="single" w:sz="4" w:space="0" w:color="auto"/>
            </w:tcBorders>
            <w:shd w:val="clear" w:color="auto" w:fill="auto"/>
            <w:vAlign w:val="center"/>
            <w:hideMark/>
          </w:tcPr>
          <w:p w14:paraId="167D9A0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review</w:t>
            </w:r>
          </w:p>
        </w:tc>
        <w:tc>
          <w:tcPr>
            <w:tcW w:w="2420" w:type="dxa"/>
            <w:tcBorders>
              <w:top w:val="nil"/>
              <w:left w:val="nil"/>
              <w:bottom w:val="single" w:sz="4" w:space="0" w:color="auto"/>
              <w:right w:val="single" w:sz="4" w:space="0" w:color="auto"/>
            </w:tcBorders>
            <w:shd w:val="clear" w:color="auto" w:fill="auto"/>
            <w:vAlign w:val="center"/>
            <w:hideMark/>
          </w:tcPr>
          <w:p w14:paraId="6B8B057D"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18E95527" w14:textId="77777777" w:rsidTr="0009254C">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44BCDF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Identify gold standard benchmarks for the VR Wellness Check using analytical framework and selection criteria</w:t>
            </w:r>
          </w:p>
        </w:tc>
        <w:tc>
          <w:tcPr>
            <w:tcW w:w="3400" w:type="dxa"/>
            <w:tcBorders>
              <w:top w:val="nil"/>
              <w:left w:val="nil"/>
              <w:bottom w:val="single" w:sz="4" w:space="0" w:color="auto"/>
              <w:right w:val="single" w:sz="4" w:space="0" w:color="auto"/>
            </w:tcBorders>
            <w:shd w:val="clear" w:color="auto" w:fill="auto"/>
            <w:vAlign w:val="center"/>
            <w:hideMark/>
          </w:tcPr>
          <w:p w14:paraId="1B2A9F9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Benchmarks identified and populated in Benchmark-QM</w:t>
            </w:r>
          </w:p>
        </w:tc>
        <w:tc>
          <w:tcPr>
            <w:tcW w:w="2420" w:type="dxa"/>
            <w:tcBorders>
              <w:top w:val="nil"/>
              <w:left w:val="nil"/>
              <w:bottom w:val="single" w:sz="4" w:space="0" w:color="auto"/>
              <w:right w:val="single" w:sz="4" w:space="0" w:color="auto"/>
            </w:tcBorders>
            <w:shd w:val="clear" w:color="auto" w:fill="auto"/>
            <w:vAlign w:val="center"/>
            <w:hideMark/>
          </w:tcPr>
          <w:p w14:paraId="4D38D8F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718F6F8E" w14:textId="77777777" w:rsidTr="0009254C">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4A747A94" w14:textId="77777777" w:rsidR="0009254C" w:rsidRPr="0009254C" w:rsidRDefault="0009254C" w:rsidP="0009254C">
            <w:pPr>
              <w:spacing w:after="0" w:line="240" w:lineRule="auto"/>
              <w:rPr>
                <w:rFonts w:eastAsia="Times New Roman"/>
                <w:b/>
                <w:bCs/>
                <w:color w:val="000000"/>
              </w:rPr>
            </w:pPr>
            <w:r w:rsidRPr="0009254C">
              <w:rPr>
                <w:rFonts w:eastAsia="Times New Roman"/>
                <w:b/>
                <w:bCs/>
                <w:color w:val="000000"/>
              </w:rPr>
              <w:t>Domain: TA and Training</w:t>
            </w:r>
          </w:p>
        </w:tc>
      </w:tr>
      <w:tr w:rsidR="0009254C" w:rsidRPr="0009254C" w14:paraId="10A6BC66" w14:textId="77777777" w:rsidTr="0009254C">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26B79B17" w14:textId="77777777" w:rsidR="0009254C" w:rsidRPr="0009254C" w:rsidRDefault="0009254C" w:rsidP="0009254C">
            <w:pPr>
              <w:spacing w:after="0" w:line="240" w:lineRule="auto"/>
              <w:jc w:val="center"/>
              <w:rPr>
                <w:rFonts w:eastAsia="Times New Roman"/>
                <w:b/>
                <w:bCs/>
                <w:color w:val="FFFFFF"/>
              </w:rPr>
            </w:pPr>
            <w:bookmarkStart w:id="29" w:name="_Hlk102053054"/>
            <w:r w:rsidRPr="0009254C">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6CC5889C"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7116BEE8"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Status</w:t>
            </w:r>
          </w:p>
        </w:tc>
      </w:tr>
      <w:bookmarkEnd w:id="29"/>
      <w:tr w:rsidR="0009254C" w:rsidRPr="0009254C" w14:paraId="26A5A8C4" w14:textId="77777777" w:rsidTr="0009254C">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796611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Management Concepts grants management training available to all SVRAs</w:t>
            </w:r>
          </w:p>
        </w:tc>
        <w:tc>
          <w:tcPr>
            <w:tcW w:w="3400" w:type="dxa"/>
            <w:tcBorders>
              <w:top w:val="nil"/>
              <w:left w:val="nil"/>
              <w:bottom w:val="single" w:sz="4" w:space="0" w:color="auto"/>
              <w:right w:val="single" w:sz="4" w:space="0" w:color="auto"/>
            </w:tcBorders>
            <w:shd w:val="clear" w:color="auto" w:fill="auto"/>
            <w:vAlign w:val="center"/>
            <w:hideMark/>
          </w:tcPr>
          <w:p w14:paraId="0F1830AA"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Training is available through the VRTAC-QM website</w:t>
            </w:r>
          </w:p>
        </w:tc>
        <w:tc>
          <w:tcPr>
            <w:tcW w:w="2420" w:type="dxa"/>
            <w:tcBorders>
              <w:top w:val="nil"/>
              <w:left w:val="nil"/>
              <w:bottom w:val="single" w:sz="4" w:space="0" w:color="auto"/>
              <w:right w:val="single" w:sz="4" w:space="0" w:color="auto"/>
            </w:tcBorders>
            <w:shd w:val="clear" w:color="auto" w:fill="auto"/>
            <w:vAlign w:val="center"/>
            <w:hideMark/>
          </w:tcPr>
          <w:p w14:paraId="2E0F93C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3 of 4 courses available</w:t>
            </w:r>
          </w:p>
        </w:tc>
      </w:tr>
      <w:tr w:rsidR="0009254C" w:rsidRPr="0009254C" w14:paraId="71BBA756" w14:textId="77777777" w:rsidTr="0009254C">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C482EC3"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QM seminar series training provided for varying levels of managers in the VR program</w:t>
            </w:r>
          </w:p>
        </w:tc>
        <w:tc>
          <w:tcPr>
            <w:tcW w:w="3400" w:type="dxa"/>
            <w:tcBorders>
              <w:top w:val="nil"/>
              <w:left w:val="nil"/>
              <w:bottom w:val="single" w:sz="4" w:space="0" w:color="auto"/>
              <w:right w:val="single" w:sz="4" w:space="0" w:color="auto"/>
            </w:tcBorders>
            <w:shd w:val="clear" w:color="auto" w:fill="auto"/>
            <w:vAlign w:val="center"/>
            <w:hideMark/>
          </w:tcPr>
          <w:p w14:paraId="3836B43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Leadership training established</w:t>
            </w:r>
          </w:p>
        </w:tc>
        <w:tc>
          <w:tcPr>
            <w:tcW w:w="2420" w:type="dxa"/>
            <w:tcBorders>
              <w:top w:val="nil"/>
              <w:left w:val="nil"/>
              <w:bottom w:val="single" w:sz="4" w:space="0" w:color="auto"/>
              <w:right w:val="single" w:sz="4" w:space="0" w:color="auto"/>
            </w:tcBorders>
            <w:shd w:val="clear" w:color="auto" w:fill="auto"/>
            <w:vAlign w:val="center"/>
            <w:hideMark/>
          </w:tcPr>
          <w:p w14:paraId="25ACD03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43C580F6" w14:textId="77777777" w:rsidTr="0009254C">
        <w:trPr>
          <w:trHeight w:val="21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70F8FA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Targeted and universal TA is provided to SVRAs on quality program and fiscal management</w:t>
            </w:r>
          </w:p>
        </w:tc>
        <w:tc>
          <w:tcPr>
            <w:tcW w:w="3400" w:type="dxa"/>
            <w:tcBorders>
              <w:top w:val="nil"/>
              <w:left w:val="nil"/>
              <w:bottom w:val="single" w:sz="4" w:space="0" w:color="auto"/>
              <w:right w:val="single" w:sz="4" w:space="0" w:color="auto"/>
            </w:tcBorders>
            <w:shd w:val="clear" w:color="auto" w:fill="auto"/>
            <w:vAlign w:val="center"/>
            <w:hideMark/>
          </w:tcPr>
          <w:p w14:paraId="3B067B1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Delivery of TA using website and other methods</w:t>
            </w:r>
          </w:p>
        </w:tc>
        <w:tc>
          <w:tcPr>
            <w:tcW w:w="2420" w:type="dxa"/>
            <w:tcBorders>
              <w:top w:val="nil"/>
              <w:left w:val="nil"/>
              <w:bottom w:val="single" w:sz="4" w:space="0" w:color="auto"/>
              <w:right w:val="single" w:sz="4" w:space="0" w:color="auto"/>
            </w:tcBorders>
            <w:shd w:val="clear" w:color="auto" w:fill="auto"/>
            <w:vAlign w:val="center"/>
            <w:hideMark/>
          </w:tcPr>
          <w:p w14:paraId="02AD0C8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Continuous- Targeted TA provided to 3,138 VR staff in 358 events. More than 10,000 accessed some form of universal TA (website and webinars)</w:t>
            </w:r>
          </w:p>
        </w:tc>
      </w:tr>
      <w:tr w:rsidR="0009254C" w:rsidRPr="0009254C" w14:paraId="60AC961D" w14:textId="77777777" w:rsidTr="00731346">
        <w:trPr>
          <w:trHeight w:val="2276"/>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AF13DE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Establish CoPs in quality program and fiscal mgmt.</w:t>
            </w:r>
          </w:p>
        </w:tc>
        <w:tc>
          <w:tcPr>
            <w:tcW w:w="3400" w:type="dxa"/>
            <w:tcBorders>
              <w:top w:val="nil"/>
              <w:left w:val="nil"/>
              <w:bottom w:val="single" w:sz="4" w:space="0" w:color="auto"/>
              <w:right w:val="single" w:sz="4" w:space="0" w:color="auto"/>
            </w:tcBorders>
            <w:shd w:val="clear" w:color="auto" w:fill="auto"/>
            <w:vAlign w:val="center"/>
            <w:hideMark/>
          </w:tcPr>
          <w:p w14:paraId="63DFA96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CoPs established and meeting</w:t>
            </w:r>
          </w:p>
        </w:tc>
        <w:tc>
          <w:tcPr>
            <w:tcW w:w="2420" w:type="dxa"/>
            <w:tcBorders>
              <w:top w:val="nil"/>
              <w:left w:val="nil"/>
              <w:bottom w:val="single" w:sz="4" w:space="0" w:color="auto"/>
              <w:right w:val="single" w:sz="4" w:space="0" w:color="auto"/>
            </w:tcBorders>
            <w:shd w:val="clear" w:color="auto" w:fill="auto"/>
            <w:vAlign w:val="center"/>
            <w:hideMark/>
          </w:tcPr>
          <w:p w14:paraId="16734F0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Continuous - 3 CoPs active. Fourth CoP beginning</w:t>
            </w:r>
          </w:p>
        </w:tc>
      </w:tr>
      <w:tr w:rsidR="0009254C" w:rsidRPr="0009254C" w14:paraId="0ED24F51" w14:textId="77777777" w:rsidTr="001232D8">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0DAF7458" w14:textId="77777777" w:rsidR="0009254C" w:rsidRPr="0009254C" w:rsidRDefault="0009254C" w:rsidP="001232D8">
            <w:pPr>
              <w:spacing w:after="0" w:line="240" w:lineRule="auto"/>
              <w:jc w:val="center"/>
              <w:rPr>
                <w:rFonts w:eastAsia="Times New Roman"/>
                <w:b/>
                <w:bCs/>
                <w:color w:val="FFFFFF"/>
              </w:rPr>
            </w:pPr>
            <w:r w:rsidRPr="0009254C">
              <w:rPr>
                <w:rFonts w:eastAsia="Times New Roman"/>
                <w:b/>
                <w:bCs/>
                <w:color w:val="FFFFFF"/>
              </w:rPr>
              <w:lastRenderedPageBreak/>
              <w:t>Activity</w:t>
            </w:r>
          </w:p>
        </w:tc>
        <w:tc>
          <w:tcPr>
            <w:tcW w:w="3400" w:type="dxa"/>
            <w:tcBorders>
              <w:top w:val="nil"/>
              <w:left w:val="nil"/>
              <w:bottom w:val="single" w:sz="4" w:space="0" w:color="auto"/>
              <w:right w:val="single" w:sz="4" w:space="0" w:color="auto"/>
            </w:tcBorders>
            <w:shd w:val="clear" w:color="000000" w:fill="C65911"/>
            <w:vAlign w:val="center"/>
            <w:hideMark/>
          </w:tcPr>
          <w:p w14:paraId="1F0F1C0D" w14:textId="77777777" w:rsidR="0009254C" w:rsidRPr="0009254C" w:rsidRDefault="0009254C" w:rsidP="001232D8">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21B3EE86" w14:textId="77777777" w:rsidR="0009254C" w:rsidRPr="0009254C" w:rsidRDefault="0009254C" w:rsidP="001232D8">
            <w:pPr>
              <w:spacing w:after="0" w:line="240" w:lineRule="auto"/>
              <w:jc w:val="center"/>
              <w:rPr>
                <w:rFonts w:eastAsia="Times New Roman"/>
                <w:b/>
                <w:bCs/>
                <w:color w:val="FFFFFF"/>
              </w:rPr>
            </w:pPr>
            <w:r w:rsidRPr="0009254C">
              <w:rPr>
                <w:rFonts w:eastAsia="Times New Roman"/>
                <w:b/>
                <w:bCs/>
                <w:color w:val="FFFFFF"/>
              </w:rPr>
              <w:t>Status</w:t>
            </w:r>
          </w:p>
        </w:tc>
      </w:tr>
      <w:tr w:rsidR="0009254C" w:rsidRPr="0009254C" w14:paraId="79989D53" w14:textId="77777777" w:rsidTr="0009254C">
        <w:trPr>
          <w:trHeight w:val="155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5807C20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Establish RSA Monitoring CoP</w:t>
            </w:r>
          </w:p>
        </w:tc>
        <w:tc>
          <w:tcPr>
            <w:tcW w:w="3400" w:type="dxa"/>
            <w:tcBorders>
              <w:top w:val="nil"/>
              <w:left w:val="nil"/>
              <w:bottom w:val="single" w:sz="4" w:space="0" w:color="auto"/>
              <w:right w:val="single" w:sz="4" w:space="0" w:color="auto"/>
            </w:tcBorders>
            <w:shd w:val="clear" w:color="000000" w:fill="FFF2CC"/>
            <w:vAlign w:val="center"/>
            <w:hideMark/>
          </w:tcPr>
          <w:p w14:paraId="3CAC860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CoP established and meeting. Helping agencies to understand the monitoring process and support one another through the process.</w:t>
            </w:r>
          </w:p>
        </w:tc>
        <w:tc>
          <w:tcPr>
            <w:tcW w:w="2420" w:type="dxa"/>
            <w:tcBorders>
              <w:top w:val="nil"/>
              <w:left w:val="nil"/>
              <w:bottom w:val="single" w:sz="4" w:space="0" w:color="auto"/>
              <w:right w:val="single" w:sz="4" w:space="0" w:color="auto"/>
            </w:tcBorders>
            <w:shd w:val="clear" w:color="000000" w:fill="FFF2CC"/>
            <w:vAlign w:val="center"/>
            <w:hideMark/>
          </w:tcPr>
          <w:p w14:paraId="419E867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 and renewed each year with a new round of agencies being monitored.</w:t>
            </w:r>
          </w:p>
        </w:tc>
      </w:tr>
      <w:tr w:rsidR="0009254C" w:rsidRPr="0009254C" w14:paraId="22BBF8E6" w14:textId="77777777" w:rsidTr="0009254C">
        <w:trPr>
          <w:trHeight w:val="93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6ED8782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Continue supported employment CoP</w:t>
            </w:r>
          </w:p>
        </w:tc>
        <w:tc>
          <w:tcPr>
            <w:tcW w:w="3400" w:type="dxa"/>
            <w:tcBorders>
              <w:top w:val="nil"/>
              <w:left w:val="nil"/>
              <w:bottom w:val="single" w:sz="4" w:space="0" w:color="auto"/>
              <w:right w:val="single" w:sz="4" w:space="0" w:color="auto"/>
            </w:tcBorders>
            <w:shd w:val="clear" w:color="000000" w:fill="FFF2CC"/>
            <w:vAlign w:val="center"/>
            <w:hideMark/>
          </w:tcPr>
          <w:p w14:paraId="01866BE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CoP meeting and sharing information and best practices related to SE.</w:t>
            </w:r>
          </w:p>
        </w:tc>
        <w:tc>
          <w:tcPr>
            <w:tcW w:w="2420" w:type="dxa"/>
            <w:tcBorders>
              <w:top w:val="nil"/>
              <w:left w:val="nil"/>
              <w:bottom w:val="single" w:sz="4" w:space="0" w:color="auto"/>
              <w:right w:val="single" w:sz="4" w:space="0" w:color="auto"/>
            </w:tcBorders>
            <w:shd w:val="clear" w:color="000000" w:fill="FFF2CC"/>
            <w:vAlign w:val="center"/>
            <w:hideMark/>
          </w:tcPr>
          <w:p w14:paraId="1CE5460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 and ongoing each year</w:t>
            </w:r>
          </w:p>
        </w:tc>
      </w:tr>
      <w:tr w:rsidR="0009254C" w:rsidRPr="0009254C" w14:paraId="4C678249" w14:textId="77777777" w:rsidTr="0009254C">
        <w:trPr>
          <w:trHeight w:val="93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20484EA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Continue customized employment CoP</w:t>
            </w:r>
          </w:p>
        </w:tc>
        <w:tc>
          <w:tcPr>
            <w:tcW w:w="3400" w:type="dxa"/>
            <w:tcBorders>
              <w:top w:val="nil"/>
              <w:left w:val="nil"/>
              <w:bottom w:val="single" w:sz="4" w:space="0" w:color="auto"/>
              <w:right w:val="single" w:sz="4" w:space="0" w:color="auto"/>
            </w:tcBorders>
            <w:shd w:val="clear" w:color="000000" w:fill="FFF2CC"/>
            <w:vAlign w:val="center"/>
            <w:hideMark/>
          </w:tcPr>
          <w:p w14:paraId="10FF577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CoP meeting and sharing information and best practices related to CE.</w:t>
            </w:r>
          </w:p>
        </w:tc>
        <w:tc>
          <w:tcPr>
            <w:tcW w:w="2420" w:type="dxa"/>
            <w:tcBorders>
              <w:top w:val="nil"/>
              <w:left w:val="nil"/>
              <w:bottom w:val="single" w:sz="4" w:space="0" w:color="auto"/>
              <w:right w:val="single" w:sz="4" w:space="0" w:color="auto"/>
            </w:tcBorders>
            <w:shd w:val="clear" w:color="000000" w:fill="FFF2CC"/>
            <w:vAlign w:val="center"/>
            <w:hideMark/>
          </w:tcPr>
          <w:p w14:paraId="2ECB682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 and ongoing each year</w:t>
            </w:r>
          </w:p>
        </w:tc>
      </w:tr>
      <w:tr w:rsidR="0009254C" w:rsidRPr="0009254C" w14:paraId="27B5E38D"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39FE121C"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Conflict Resolution Webinar</w:t>
            </w:r>
          </w:p>
        </w:tc>
        <w:tc>
          <w:tcPr>
            <w:tcW w:w="3400" w:type="dxa"/>
            <w:tcBorders>
              <w:top w:val="nil"/>
              <w:left w:val="nil"/>
              <w:bottom w:val="single" w:sz="4" w:space="0" w:color="auto"/>
              <w:right w:val="single" w:sz="4" w:space="0" w:color="auto"/>
            </w:tcBorders>
            <w:shd w:val="clear" w:color="000000" w:fill="FFF2CC"/>
            <w:vAlign w:val="center"/>
            <w:hideMark/>
          </w:tcPr>
          <w:p w14:paraId="6309876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7F9C3BFA"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3AFE60D3"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07E76A4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Ethics, Supervision and Technology Webinar</w:t>
            </w:r>
          </w:p>
        </w:tc>
        <w:tc>
          <w:tcPr>
            <w:tcW w:w="3400" w:type="dxa"/>
            <w:tcBorders>
              <w:top w:val="nil"/>
              <w:left w:val="nil"/>
              <w:bottom w:val="single" w:sz="4" w:space="0" w:color="auto"/>
              <w:right w:val="single" w:sz="4" w:space="0" w:color="auto"/>
            </w:tcBorders>
            <w:shd w:val="clear" w:color="000000" w:fill="FFF2CC"/>
            <w:vAlign w:val="center"/>
            <w:hideMark/>
          </w:tcPr>
          <w:p w14:paraId="53E4AEE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0717E6D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05C138B8"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4BD55F6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Managing the 15% reserve Webinar</w:t>
            </w:r>
          </w:p>
        </w:tc>
        <w:tc>
          <w:tcPr>
            <w:tcW w:w="3400" w:type="dxa"/>
            <w:tcBorders>
              <w:top w:val="nil"/>
              <w:left w:val="nil"/>
              <w:bottom w:val="single" w:sz="4" w:space="0" w:color="auto"/>
              <w:right w:val="single" w:sz="4" w:space="0" w:color="auto"/>
            </w:tcBorders>
            <w:shd w:val="clear" w:color="000000" w:fill="FFF2CC"/>
            <w:vAlign w:val="center"/>
            <w:hideMark/>
          </w:tcPr>
          <w:p w14:paraId="53B91F8C"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7FFC1BB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4F6176AB"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60A9A583"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NOI webinar in partnership with NTACT C</w:t>
            </w:r>
          </w:p>
        </w:tc>
        <w:tc>
          <w:tcPr>
            <w:tcW w:w="3400" w:type="dxa"/>
            <w:tcBorders>
              <w:top w:val="nil"/>
              <w:left w:val="nil"/>
              <w:bottom w:val="single" w:sz="4" w:space="0" w:color="auto"/>
              <w:right w:val="single" w:sz="4" w:space="0" w:color="auto"/>
            </w:tcBorders>
            <w:shd w:val="clear" w:color="000000" w:fill="FFF2CC"/>
            <w:vAlign w:val="center"/>
            <w:hideMark/>
          </w:tcPr>
          <w:p w14:paraId="673F750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087A1AC4"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109650D4" w14:textId="77777777" w:rsidTr="0009254C">
        <w:trPr>
          <w:trHeight w:val="93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6912511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Non-Delegable Responsibilities and Organizational Structure Unpacked Webinar</w:t>
            </w:r>
          </w:p>
        </w:tc>
        <w:tc>
          <w:tcPr>
            <w:tcW w:w="3400" w:type="dxa"/>
            <w:tcBorders>
              <w:top w:val="nil"/>
              <w:left w:val="nil"/>
              <w:bottom w:val="single" w:sz="4" w:space="0" w:color="auto"/>
              <w:right w:val="single" w:sz="4" w:space="0" w:color="auto"/>
            </w:tcBorders>
            <w:shd w:val="clear" w:color="000000" w:fill="FFF2CC"/>
            <w:vAlign w:val="center"/>
            <w:hideMark/>
          </w:tcPr>
          <w:p w14:paraId="7EBCD5E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2D682D1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0F97E0E7"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71A79274" w14:textId="77777777" w:rsidR="0009254C" w:rsidRPr="0009254C" w:rsidRDefault="0009254C" w:rsidP="0009254C">
            <w:pPr>
              <w:spacing w:after="0" w:line="240" w:lineRule="auto"/>
              <w:rPr>
                <w:rFonts w:eastAsia="Times New Roman"/>
                <w:color w:val="222222"/>
              </w:rPr>
            </w:pPr>
            <w:r w:rsidRPr="0009254C">
              <w:rPr>
                <w:rFonts w:eastAsia="Times New Roman"/>
                <w:color w:val="222222"/>
              </w:rPr>
              <w:t>Peer to Supervisor Webinar</w:t>
            </w:r>
          </w:p>
        </w:tc>
        <w:tc>
          <w:tcPr>
            <w:tcW w:w="3400" w:type="dxa"/>
            <w:tcBorders>
              <w:top w:val="nil"/>
              <w:left w:val="nil"/>
              <w:bottom w:val="single" w:sz="4" w:space="0" w:color="auto"/>
              <w:right w:val="single" w:sz="4" w:space="0" w:color="auto"/>
            </w:tcBorders>
            <w:shd w:val="clear" w:color="000000" w:fill="FFF2CC"/>
            <w:vAlign w:val="center"/>
            <w:hideMark/>
          </w:tcPr>
          <w:p w14:paraId="44AA6A3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58BAC15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14585B6D"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509BBD8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Remote Supervision Webinar</w:t>
            </w:r>
          </w:p>
        </w:tc>
        <w:tc>
          <w:tcPr>
            <w:tcW w:w="3400" w:type="dxa"/>
            <w:tcBorders>
              <w:top w:val="nil"/>
              <w:left w:val="nil"/>
              <w:bottom w:val="single" w:sz="4" w:space="0" w:color="auto"/>
              <w:right w:val="single" w:sz="4" w:space="0" w:color="auto"/>
            </w:tcBorders>
            <w:shd w:val="clear" w:color="000000" w:fill="FFF2CC"/>
            <w:vAlign w:val="center"/>
            <w:hideMark/>
          </w:tcPr>
          <w:p w14:paraId="01C2EC6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2DF4687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5663817B" w14:textId="77777777" w:rsidTr="0009254C">
        <w:trPr>
          <w:trHeight w:val="620"/>
        </w:trPr>
        <w:tc>
          <w:tcPr>
            <w:tcW w:w="3520" w:type="dxa"/>
            <w:tcBorders>
              <w:top w:val="nil"/>
              <w:left w:val="single" w:sz="4" w:space="0" w:color="auto"/>
              <w:bottom w:val="single" w:sz="4" w:space="0" w:color="auto"/>
              <w:right w:val="single" w:sz="4" w:space="0" w:color="auto"/>
            </w:tcBorders>
            <w:shd w:val="clear" w:color="D9E2F3" w:fill="FFF2CC"/>
            <w:vAlign w:val="center"/>
            <w:hideMark/>
          </w:tcPr>
          <w:p w14:paraId="1CB825F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SRC (</w:t>
            </w:r>
            <w:proofErr w:type="gramStart"/>
            <w:r w:rsidRPr="0009254C">
              <w:rPr>
                <w:rFonts w:eastAsia="Times New Roman"/>
                <w:color w:val="000000"/>
              </w:rPr>
              <w:t>4 part</w:t>
            </w:r>
            <w:proofErr w:type="gramEnd"/>
            <w:r w:rsidRPr="0009254C">
              <w:rPr>
                <w:rFonts w:eastAsia="Times New Roman"/>
                <w:color w:val="000000"/>
              </w:rPr>
              <w:t xml:space="preserve"> series webinars)</w:t>
            </w:r>
          </w:p>
        </w:tc>
        <w:tc>
          <w:tcPr>
            <w:tcW w:w="3400" w:type="dxa"/>
            <w:tcBorders>
              <w:top w:val="nil"/>
              <w:left w:val="nil"/>
              <w:bottom w:val="single" w:sz="4" w:space="0" w:color="auto"/>
              <w:right w:val="single" w:sz="4" w:space="0" w:color="auto"/>
            </w:tcBorders>
            <w:shd w:val="clear" w:color="000000" w:fill="FFF2CC"/>
            <w:vAlign w:val="center"/>
            <w:hideMark/>
          </w:tcPr>
          <w:p w14:paraId="5F942AA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5235009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574BFABD" w14:textId="77777777" w:rsidTr="0009254C">
        <w:trPr>
          <w:trHeight w:val="62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426B3E7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Credential attainment webinar</w:t>
            </w:r>
          </w:p>
        </w:tc>
        <w:tc>
          <w:tcPr>
            <w:tcW w:w="3400" w:type="dxa"/>
            <w:tcBorders>
              <w:top w:val="nil"/>
              <w:left w:val="nil"/>
              <w:bottom w:val="single" w:sz="4" w:space="0" w:color="auto"/>
              <w:right w:val="single" w:sz="4" w:space="0" w:color="auto"/>
            </w:tcBorders>
            <w:shd w:val="clear" w:color="000000" w:fill="FFF2CC"/>
            <w:vAlign w:val="center"/>
            <w:hideMark/>
          </w:tcPr>
          <w:p w14:paraId="27488C4A"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Webinar complete, posted on website and viewed by VR staff</w:t>
            </w:r>
          </w:p>
        </w:tc>
        <w:tc>
          <w:tcPr>
            <w:tcW w:w="2420" w:type="dxa"/>
            <w:tcBorders>
              <w:top w:val="nil"/>
              <w:left w:val="nil"/>
              <w:bottom w:val="single" w:sz="4" w:space="0" w:color="auto"/>
              <w:right w:val="single" w:sz="4" w:space="0" w:color="auto"/>
            </w:tcBorders>
            <w:shd w:val="clear" w:color="000000" w:fill="FFF2CC"/>
            <w:vAlign w:val="center"/>
            <w:hideMark/>
          </w:tcPr>
          <w:p w14:paraId="253AAEAD"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39B28ACB" w14:textId="77777777" w:rsidTr="0009254C">
        <w:trPr>
          <w:trHeight w:val="124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18DF00F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Develop training in partnership with the VR Summit Group for case reviews, pre-ETS and data validation</w:t>
            </w:r>
          </w:p>
        </w:tc>
        <w:tc>
          <w:tcPr>
            <w:tcW w:w="3400" w:type="dxa"/>
            <w:tcBorders>
              <w:top w:val="nil"/>
              <w:left w:val="nil"/>
              <w:bottom w:val="single" w:sz="4" w:space="0" w:color="auto"/>
              <w:right w:val="single" w:sz="4" w:space="0" w:color="auto"/>
            </w:tcBorders>
            <w:shd w:val="clear" w:color="000000" w:fill="FFF2CC"/>
            <w:vAlign w:val="center"/>
            <w:hideMark/>
          </w:tcPr>
          <w:p w14:paraId="3E3521E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training posted to the website that develops skills of VR staff in the identified areas.</w:t>
            </w:r>
          </w:p>
        </w:tc>
        <w:tc>
          <w:tcPr>
            <w:tcW w:w="2420" w:type="dxa"/>
            <w:tcBorders>
              <w:top w:val="nil"/>
              <w:left w:val="nil"/>
              <w:bottom w:val="single" w:sz="4" w:space="0" w:color="auto"/>
              <w:right w:val="single" w:sz="4" w:space="0" w:color="auto"/>
            </w:tcBorders>
            <w:shd w:val="clear" w:color="000000" w:fill="FFF2CC"/>
            <w:vAlign w:val="center"/>
            <w:hideMark/>
          </w:tcPr>
          <w:p w14:paraId="176285C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21C9D885" w14:textId="77777777" w:rsidTr="00731346">
        <w:trPr>
          <w:trHeight w:val="188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1183586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Provide eligibility and IPE training for VR agencies</w:t>
            </w:r>
          </w:p>
        </w:tc>
        <w:tc>
          <w:tcPr>
            <w:tcW w:w="3400" w:type="dxa"/>
            <w:tcBorders>
              <w:top w:val="nil"/>
              <w:left w:val="nil"/>
              <w:bottom w:val="single" w:sz="4" w:space="0" w:color="auto"/>
              <w:right w:val="single" w:sz="4" w:space="0" w:color="auto"/>
            </w:tcBorders>
            <w:shd w:val="clear" w:color="000000" w:fill="FFF2CC"/>
            <w:vAlign w:val="center"/>
            <w:hideMark/>
          </w:tcPr>
          <w:p w14:paraId="76E2316A"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training that improved timely eligibility determinations and IPE development and increases quality outcomes.</w:t>
            </w:r>
          </w:p>
        </w:tc>
        <w:tc>
          <w:tcPr>
            <w:tcW w:w="2420" w:type="dxa"/>
            <w:tcBorders>
              <w:top w:val="nil"/>
              <w:left w:val="nil"/>
              <w:bottom w:val="single" w:sz="4" w:space="0" w:color="auto"/>
              <w:right w:val="single" w:sz="4" w:space="0" w:color="auto"/>
            </w:tcBorders>
            <w:shd w:val="clear" w:color="000000" w:fill="FFF2CC"/>
            <w:vAlign w:val="center"/>
            <w:hideMark/>
          </w:tcPr>
          <w:p w14:paraId="5E8EA7D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Provided to Kansas, Iowa Blind, Montana, </w:t>
            </w:r>
            <w:proofErr w:type="gramStart"/>
            <w:r w:rsidRPr="0009254C">
              <w:rPr>
                <w:rFonts w:eastAsia="Times New Roman"/>
                <w:color w:val="000000"/>
              </w:rPr>
              <w:t>Wyoming</w:t>
            </w:r>
            <w:proofErr w:type="gramEnd"/>
            <w:r w:rsidRPr="0009254C">
              <w:rPr>
                <w:rFonts w:eastAsia="Times New Roman"/>
                <w:color w:val="000000"/>
              </w:rPr>
              <w:t xml:space="preserve"> and Hawaii. Ongoing for agencies as requested</w:t>
            </w:r>
          </w:p>
        </w:tc>
      </w:tr>
      <w:tr w:rsidR="00731346" w:rsidRPr="0009254C" w14:paraId="4ADD0F44" w14:textId="77777777" w:rsidTr="001232D8">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09F24E0C" w14:textId="77777777" w:rsidR="00731346" w:rsidRPr="0009254C" w:rsidRDefault="00731346" w:rsidP="001232D8">
            <w:pPr>
              <w:spacing w:after="0" w:line="240" w:lineRule="auto"/>
              <w:jc w:val="center"/>
              <w:rPr>
                <w:rFonts w:eastAsia="Times New Roman"/>
                <w:b/>
                <w:bCs/>
                <w:color w:val="FFFFFF"/>
              </w:rPr>
            </w:pPr>
            <w:r w:rsidRPr="0009254C">
              <w:rPr>
                <w:rFonts w:eastAsia="Times New Roman"/>
                <w:b/>
                <w:bCs/>
                <w:color w:val="FFFFFF"/>
              </w:rPr>
              <w:lastRenderedPageBreak/>
              <w:t>Activity</w:t>
            </w:r>
          </w:p>
        </w:tc>
        <w:tc>
          <w:tcPr>
            <w:tcW w:w="3400" w:type="dxa"/>
            <w:tcBorders>
              <w:top w:val="nil"/>
              <w:left w:val="nil"/>
              <w:bottom w:val="single" w:sz="4" w:space="0" w:color="auto"/>
              <w:right w:val="single" w:sz="4" w:space="0" w:color="auto"/>
            </w:tcBorders>
            <w:shd w:val="clear" w:color="000000" w:fill="C65911"/>
            <w:vAlign w:val="center"/>
            <w:hideMark/>
          </w:tcPr>
          <w:p w14:paraId="2FA8E559" w14:textId="77777777" w:rsidR="00731346" w:rsidRPr="0009254C" w:rsidRDefault="00731346" w:rsidP="001232D8">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7D7349A4" w14:textId="77777777" w:rsidR="00731346" w:rsidRPr="0009254C" w:rsidRDefault="00731346" w:rsidP="001232D8">
            <w:pPr>
              <w:spacing w:after="0" w:line="240" w:lineRule="auto"/>
              <w:jc w:val="center"/>
              <w:rPr>
                <w:rFonts w:eastAsia="Times New Roman"/>
                <w:b/>
                <w:bCs/>
                <w:color w:val="FFFFFF"/>
              </w:rPr>
            </w:pPr>
            <w:r w:rsidRPr="0009254C">
              <w:rPr>
                <w:rFonts w:eastAsia="Times New Roman"/>
                <w:b/>
                <w:bCs/>
                <w:color w:val="FFFFFF"/>
              </w:rPr>
              <w:t>Status</w:t>
            </w:r>
          </w:p>
        </w:tc>
      </w:tr>
      <w:tr w:rsidR="0009254C" w:rsidRPr="0009254C" w14:paraId="2F82860F" w14:textId="77777777" w:rsidTr="0009254C">
        <w:trPr>
          <w:trHeight w:val="93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578431F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Develop Rehab Data workgroup tools in partnership with RSA</w:t>
            </w:r>
          </w:p>
        </w:tc>
        <w:tc>
          <w:tcPr>
            <w:tcW w:w="3400" w:type="dxa"/>
            <w:tcBorders>
              <w:top w:val="nil"/>
              <w:left w:val="nil"/>
              <w:bottom w:val="single" w:sz="4" w:space="0" w:color="auto"/>
              <w:right w:val="single" w:sz="4" w:space="0" w:color="auto"/>
            </w:tcBorders>
            <w:shd w:val="clear" w:color="000000" w:fill="FFF2CC"/>
            <w:vAlign w:val="center"/>
            <w:hideMark/>
          </w:tcPr>
          <w:p w14:paraId="057EC8A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tools for use by VR program staff</w:t>
            </w:r>
          </w:p>
        </w:tc>
        <w:tc>
          <w:tcPr>
            <w:tcW w:w="2420" w:type="dxa"/>
            <w:tcBorders>
              <w:top w:val="nil"/>
              <w:left w:val="nil"/>
              <w:bottom w:val="single" w:sz="4" w:space="0" w:color="auto"/>
              <w:right w:val="single" w:sz="4" w:space="0" w:color="auto"/>
            </w:tcBorders>
            <w:shd w:val="clear" w:color="000000" w:fill="FFF2CC"/>
            <w:vAlign w:val="center"/>
            <w:hideMark/>
          </w:tcPr>
          <w:p w14:paraId="6BE446F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MSG, pre-ETS, and trend data tool completed.</w:t>
            </w:r>
          </w:p>
        </w:tc>
      </w:tr>
      <w:tr w:rsidR="0009254C" w:rsidRPr="0009254C" w14:paraId="6C4F6E6C" w14:textId="77777777" w:rsidTr="0009254C">
        <w:trPr>
          <w:trHeight w:val="124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3D5DC6B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Prior approval tool</w:t>
            </w:r>
          </w:p>
        </w:tc>
        <w:tc>
          <w:tcPr>
            <w:tcW w:w="3400" w:type="dxa"/>
            <w:tcBorders>
              <w:top w:val="nil"/>
              <w:left w:val="nil"/>
              <w:bottom w:val="single" w:sz="4" w:space="0" w:color="auto"/>
              <w:right w:val="single" w:sz="4" w:space="0" w:color="auto"/>
            </w:tcBorders>
            <w:shd w:val="clear" w:color="000000" w:fill="FFF2CC"/>
            <w:vAlign w:val="center"/>
            <w:hideMark/>
          </w:tcPr>
          <w:p w14:paraId="519C349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tool available on the website to help agencies ensure they successfully complete and receive prior approval</w:t>
            </w:r>
          </w:p>
        </w:tc>
        <w:tc>
          <w:tcPr>
            <w:tcW w:w="2420" w:type="dxa"/>
            <w:tcBorders>
              <w:top w:val="nil"/>
              <w:left w:val="nil"/>
              <w:bottom w:val="single" w:sz="4" w:space="0" w:color="auto"/>
              <w:right w:val="single" w:sz="4" w:space="0" w:color="auto"/>
            </w:tcBorders>
            <w:shd w:val="clear" w:color="000000" w:fill="FFF2CC"/>
            <w:vAlign w:val="center"/>
            <w:hideMark/>
          </w:tcPr>
          <w:p w14:paraId="709A58D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67EA5EFB" w14:textId="77777777" w:rsidTr="0009254C">
        <w:trPr>
          <w:trHeight w:val="124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3E4C0D2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Monitoring checklist in general review area and fiscal area</w:t>
            </w:r>
          </w:p>
        </w:tc>
        <w:tc>
          <w:tcPr>
            <w:tcW w:w="3400" w:type="dxa"/>
            <w:tcBorders>
              <w:top w:val="nil"/>
              <w:left w:val="nil"/>
              <w:bottom w:val="single" w:sz="4" w:space="0" w:color="auto"/>
              <w:right w:val="single" w:sz="4" w:space="0" w:color="auto"/>
            </w:tcBorders>
            <w:shd w:val="clear" w:color="000000" w:fill="FFF2CC"/>
            <w:vAlign w:val="center"/>
            <w:hideMark/>
          </w:tcPr>
          <w:p w14:paraId="06A1B55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tool on the website and available for use by VR agencies that helps them prepare for monitoring.</w:t>
            </w:r>
          </w:p>
        </w:tc>
        <w:tc>
          <w:tcPr>
            <w:tcW w:w="2420" w:type="dxa"/>
            <w:tcBorders>
              <w:top w:val="nil"/>
              <w:left w:val="nil"/>
              <w:bottom w:val="single" w:sz="4" w:space="0" w:color="auto"/>
              <w:right w:val="single" w:sz="4" w:space="0" w:color="auto"/>
            </w:tcBorders>
            <w:shd w:val="clear" w:color="000000" w:fill="FFF2CC"/>
            <w:vAlign w:val="center"/>
            <w:hideMark/>
          </w:tcPr>
          <w:p w14:paraId="04B67D1C"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18FAB4AA" w14:textId="77777777" w:rsidTr="0009254C">
        <w:trPr>
          <w:trHeight w:val="124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254AABC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Staff time and effort reporting tool</w:t>
            </w:r>
          </w:p>
        </w:tc>
        <w:tc>
          <w:tcPr>
            <w:tcW w:w="3400" w:type="dxa"/>
            <w:tcBorders>
              <w:top w:val="nil"/>
              <w:left w:val="nil"/>
              <w:bottom w:val="single" w:sz="4" w:space="0" w:color="auto"/>
              <w:right w:val="single" w:sz="4" w:space="0" w:color="auto"/>
            </w:tcBorders>
            <w:shd w:val="clear" w:color="000000" w:fill="FFF2CC"/>
            <w:vAlign w:val="center"/>
            <w:hideMark/>
          </w:tcPr>
          <w:p w14:paraId="3CAD076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tool available on the website for use by VR agencies to report time and effort and reduce errors in staff time reporting</w:t>
            </w:r>
          </w:p>
        </w:tc>
        <w:tc>
          <w:tcPr>
            <w:tcW w:w="2420" w:type="dxa"/>
            <w:tcBorders>
              <w:top w:val="nil"/>
              <w:left w:val="nil"/>
              <w:bottom w:val="single" w:sz="4" w:space="0" w:color="auto"/>
              <w:right w:val="single" w:sz="4" w:space="0" w:color="auto"/>
            </w:tcBorders>
            <w:shd w:val="clear" w:color="000000" w:fill="FFF2CC"/>
            <w:vAlign w:val="center"/>
            <w:hideMark/>
          </w:tcPr>
          <w:p w14:paraId="5500C10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2B93FAC0" w14:textId="77777777" w:rsidTr="0009254C">
        <w:trPr>
          <w:trHeight w:val="217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64F1A64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Manager Minute podcasts</w:t>
            </w:r>
          </w:p>
        </w:tc>
        <w:tc>
          <w:tcPr>
            <w:tcW w:w="3400" w:type="dxa"/>
            <w:tcBorders>
              <w:top w:val="nil"/>
              <w:left w:val="nil"/>
              <w:bottom w:val="single" w:sz="4" w:space="0" w:color="auto"/>
              <w:right w:val="single" w:sz="4" w:space="0" w:color="auto"/>
            </w:tcBorders>
            <w:shd w:val="clear" w:color="000000" w:fill="FFF2CC"/>
            <w:vAlign w:val="center"/>
            <w:hideMark/>
          </w:tcPr>
          <w:p w14:paraId="2585382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Completed podcasts on </w:t>
            </w:r>
            <w:proofErr w:type="gramStart"/>
            <w:r w:rsidRPr="0009254C">
              <w:rPr>
                <w:rFonts w:eastAsia="Times New Roman"/>
                <w:color w:val="000000"/>
              </w:rPr>
              <w:t>a  variety</w:t>
            </w:r>
            <w:proofErr w:type="gramEnd"/>
            <w:r w:rsidRPr="0009254C">
              <w:rPr>
                <w:rFonts w:eastAsia="Times New Roman"/>
                <w:color w:val="000000"/>
              </w:rPr>
              <w:t xml:space="preserve"> of quality management topics that are recorded and posted to the website that can be accessed by VR staff to increase identification and adoption of QM strategies and practices.</w:t>
            </w:r>
          </w:p>
        </w:tc>
        <w:tc>
          <w:tcPr>
            <w:tcW w:w="2420" w:type="dxa"/>
            <w:tcBorders>
              <w:top w:val="nil"/>
              <w:left w:val="nil"/>
              <w:bottom w:val="single" w:sz="4" w:space="0" w:color="auto"/>
              <w:right w:val="single" w:sz="4" w:space="0" w:color="auto"/>
            </w:tcBorders>
            <w:shd w:val="clear" w:color="000000" w:fill="FFF2CC"/>
            <w:vAlign w:val="center"/>
            <w:hideMark/>
          </w:tcPr>
          <w:p w14:paraId="02C71C43"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13 complete with many others on the way</w:t>
            </w:r>
          </w:p>
        </w:tc>
      </w:tr>
      <w:tr w:rsidR="0009254C" w:rsidRPr="0009254C" w14:paraId="0A386728" w14:textId="77777777" w:rsidTr="0009254C">
        <w:trPr>
          <w:trHeight w:val="93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67076B5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Monitoring prep workbook</w:t>
            </w:r>
          </w:p>
        </w:tc>
        <w:tc>
          <w:tcPr>
            <w:tcW w:w="3400" w:type="dxa"/>
            <w:tcBorders>
              <w:top w:val="nil"/>
              <w:left w:val="nil"/>
              <w:bottom w:val="single" w:sz="4" w:space="0" w:color="auto"/>
              <w:right w:val="single" w:sz="4" w:space="0" w:color="auto"/>
            </w:tcBorders>
            <w:shd w:val="clear" w:color="000000" w:fill="FFF2CC"/>
            <w:vAlign w:val="center"/>
            <w:hideMark/>
          </w:tcPr>
          <w:p w14:paraId="22AF0144"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workbook available on the website to help VR agencies prepare for monitoring.</w:t>
            </w:r>
          </w:p>
        </w:tc>
        <w:tc>
          <w:tcPr>
            <w:tcW w:w="2420" w:type="dxa"/>
            <w:tcBorders>
              <w:top w:val="nil"/>
              <w:left w:val="nil"/>
              <w:bottom w:val="single" w:sz="4" w:space="0" w:color="auto"/>
              <w:right w:val="single" w:sz="4" w:space="0" w:color="auto"/>
            </w:tcBorders>
            <w:shd w:val="clear" w:color="000000" w:fill="FFF2CC"/>
            <w:vAlign w:val="center"/>
            <w:hideMark/>
          </w:tcPr>
          <w:p w14:paraId="2ED05AC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57E77698" w14:textId="77777777" w:rsidTr="0009254C">
        <w:trPr>
          <w:trHeight w:val="1860"/>
        </w:trPr>
        <w:tc>
          <w:tcPr>
            <w:tcW w:w="3520" w:type="dxa"/>
            <w:tcBorders>
              <w:top w:val="nil"/>
              <w:left w:val="single" w:sz="4" w:space="0" w:color="auto"/>
              <w:bottom w:val="single" w:sz="4" w:space="0" w:color="auto"/>
              <w:right w:val="single" w:sz="4" w:space="0" w:color="auto"/>
            </w:tcBorders>
            <w:shd w:val="clear" w:color="000000" w:fill="FFF2CC"/>
            <w:vAlign w:val="center"/>
            <w:hideMark/>
          </w:tcPr>
          <w:p w14:paraId="30DA2699"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Create micro trainings</w:t>
            </w:r>
          </w:p>
        </w:tc>
        <w:tc>
          <w:tcPr>
            <w:tcW w:w="3400" w:type="dxa"/>
            <w:tcBorders>
              <w:top w:val="nil"/>
              <w:left w:val="nil"/>
              <w:bottom w:val="single" w:sz="4" w:space="0" w:color="auto"/>
              <w:right w:val="single" w:sz="4" w:space="0" w:color="auto"/>
            </w:tcBorders>
            <w:shd w:val="clear" w:color="000000" w:fill="FFF2CC"/>
            <w:vAlign w:val="center"/>
            <w:hideMark/>
          </w:tcPr>
          <w:p w14:paraId="3C0796D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Develop micro-trainings on quality program and fiscal management for use by VR staff on the website and that will help them identify and adopt QM strategies and practices</w:t>
            </w:r>
          </w:p>
        </w:tc>
        <w:tc>
          <w:tcPr>
            <w:tcW w:w="2420" w:type="dxa"/>
            <w:tcBorders>
              <w:top w:val="nil"/>
              <w:left w:val="nil"/>
              <w:bottom w:val="single" w:sz="4" w:space="0" w:color="auto"/>
              <w:right w:val="single" w:sz="4" w:space="0" w:color="auto"/>
            </w:tcBorders>
            <w:shd w:val="clear" w:color="000000" w:fill="FFF2CC"/>
            <w:vAlign w:val="center"/>
            <w:hideMark/>
          </w:tcPr>
          <w:p w14:paraId="0A32BF74"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Three complete and several in-development</w:t>
            </w:r>
          </w:p>
        </w:tc>
      </w:tr>
      <w:tr w:rsidR="0009254C" w:rsidRPr="0009254C" w14:paraId="059EA2BB" w14:textId="77777777" w:rsidTr="0009254C">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5BD7A8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Provide intensive TA and training on quality program and fiscal management</w:t>
            </w:r>
          </w:p>
        </w:tc>
        <w:tc>
          <w:tcPr>
            <w:tcW w:w="3400" w:type="dxa"/>
            <w:tcBorders>
              <w:top w:val="nil"/>
              <w:left w:val="nil"/>
              <w:bottom w:val="single" w:sz="4" w:space="0" w:color="auto"/>
              <w:right w:val="single" w:sz="4" w:space="0" w:color="auto"/>
            </w:tcBorders>
            <w:shd w:val="clear" w:color="auto" w:fill="auto"/>
            <w:vAlign w:val="center"/>
            <w:hideMark/>
          </w:tcPr>
          <w:p w14:paraId="3113BBE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SWOT analysis and ITAA completed for each SVRA</w:t>
            </w:r>
          </w:p>
        </w:tc>
        <w:tc>
          <w:tcPr>
            <w:tcW w:w="2420" w:type="dxa"/>
            <w:tcBorders>
              <w:top w:val="nil"/>
              <w:left w:val="nil"/>
              <w:bottom w:val="single" w:sz="4" w:space="0" w:color="auto"/>
              <w:right w:val="single" w:sz="4" w:space="0" w:color="auto"/>
            </w:tcBorders>
            <w:shd w:val="clear" w:color="auto" w:fill="auto"/>
            <w:vAlign w:val="center"/>
            <w:hideMark/>
          </w:tcPr>
          <w:p w14:paraId="5D1B913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8 ITAAs completed and 10 SWOTs completed </w:t>
            </w:r>
          </w:p>
        </w:tc>
      </w:tr>
      <w:tr w:rsidR="0009254C" w:rsidRPr="0009254C" w14:paraId="0384B341" w14:textId="77777777" w:rsidTr="0009254C">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1D598C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Conduct the SARA SSA reimbursement pilot projects</w:t>
            </w:r>
          </w:p>
        </w:tc>
        <w:tc>
          <w:tcPr>
            <w:tcW w:w="3400" w:type="dxa"/>
            <w:tcBorders>
              <w:top w:val="nil"/>
              <w:left w:val="nil"/>
              <w:bottom w:val="single" w:sz="4" w:space="0" w:color="auto"/>
              <w:right w:val="single" w:sz="4" w:space="0" w:color="auto"/>
            </w:tcBorders>
            <w:shd w:val="clear" w:color="auto" w:fill="auto"/>
            <w:vAlign w:val="center"/>
            <w:hideMark/>
          </w:tcPr>
          <w:p w14:paraId="6A53EB81"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Pilot started in 4 SVRAs</w:t>
            </w:r>
          </w:p>
        </w:tc>
        <w:tc>
          <w:tcPr>
            <w:tcW w:w="2420" w:type="dxa"/>
            <w:tcBorders>
              <w:top w:val="nil"/>
              <w:left w:val="nil"/>
              <w:bottom w:val="single" w:sz="4" w:space="0" w:color="auto"/>
              <w:right w:val="single" w:sz="4" w:space="0" w:color="auto"/>
            </w:tcBorders>
            <w:shd w:val="clear" w:color="auto" w:fill="auto"/>
            <w:vAlign w:val="center"/>
            <w:hideMark/>
          </w:tcPr>
          <w:p w14:paraId="307E977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Refocusing on QM of agencies instead of SSA reimbursement </w:t>
            </w:r>
          </w:p>
        </w:tc>
      </w:tr>
      <w:tr w:rsidR="0009254C" w:rsidRPr="0009254C" w14:paraId="7ADB4E7B" w14:textId="77777777" w:rsidTr="0009254C">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4DD78F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Conduct the CRA pilot projects in 4 States</w:t>
            </w:r>
          </w:p>
        </w:tc>
        <w:tc>
          <w:tcPr>
            <w:tcW w:w="3400" w:type="dxa"/>
            <w:tcBorders>
              <w:top w:val="nil"/>
              <w:left w:val="nil"/>
              <w:bottom w:val="single" w:sz="4" w:space="0" w:color="auto"/>
              <w:right w:val="single" w:sz="4" w:space="0" w:color="auto"/>
            </w:tcBorders>
            <w:shd w:val="clear" w:color="auto" w:fill="auto"/>
            <w:vAlign w:val="center"/>
            <w:hideMark/>
          </w:tcPr>
          <w:p w14:paraId="0F775A7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Pilot started in 4 SVRAs</w:t>
            </w:r>
          </w:p>
        </w:tc>
        <w:tc>
          <w:tcPr>
            <w:tcW w:w="2420" w:type="dxa"/>
            <w:tcBorders>
              <w:top w:val="nil"/>
              <w:left w:val="nil"/>
              <w:bottom w:val="single" w:sz="4" w:space="0" w:color="auto"/>
              <w:right w:val="single" w:sz="4" w:space="0" w:color="auto"/>
            </w:tcBorders>
            <w:shd w:val="clear" w:color="auto" w:fill="auto"/>
            <w:vAlign w:val="center"/>
            <w:hideMark/>
          </w:tcPr>
          <w:p w14:paraId="70D6C89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Delayed</w:t>
            </w:r>
          </w:p>
        </w:tc>
      </w:tr>
      <w:tr w:rsidR="00731346" w:rsidRPr="0009254C" w14:paraId="1604DBC2" w14:textId="77777777" w:rsidTr="001232D8">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6757BDF4" w14:textId="77777777" w:rsidR="00731346" w:rsidRPr="0009254C" w:rsidRDefault="00731346" w:rsidP="001232D8">
            <w:pPr>
              <w:spacing w:after="0" w:line="240" w:lineRule="auto"/>
              <w:jc w:val="center"/>
              <w:rPr>
                <w:rFonts w:eastAsia="Times New Roman"/>
                <w:b/>
                <w:bCs/>
                <w:color w:val="FFFFFF"/>
              </w:rPr>
            </w:pPr>
            <w:r w:rsidRPr="0009254C">
              <w:rPr>
                <w:rFonts w:eastAsia="Times New Roman"/>
                <w:b/>
                <w:bCs/>
                <w:color w:val="FFFFFF"/>
              </w:rPr>
              <w:lastRenderedPageBreak/>
              <w:t>Activity</w:t>
            </w:r>
          </w:p>
        </w:tc>
        <w:tc>
          <w:tcPr>
            <w:tcW w:w="3400" w:type="dxa"/>
            <w:tcBorders>
              <w:top w:val="nil"/>
              <w:left w:val="nil"/>
              <w:bottom w:val="single" w:sz="4" w:space="0" w:color="auto"/>
              <w:right w:val="single" w:sz="4" w:space="0" w:color="auto"/>
            </w:tcBorders>
            <w:shd w:val="clear" w:color="000000" w:fill="C65911"/>
            <w:vAlign w:val="center"/>
            <w:hideMark/>
          </w:tcPr>
          <w:p w14:paraId="2C1F2517" w14:textId="77777777" w:rsidR="00731346" w:rsidRPr="0009254C" w:rsidRDefault="00731346" w:rsidP="001232D8">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41DEA8F7" w14:textId="77777777" w:rsidR="00731346" w:rsidRPr="0009254C" w:rsidRDefault="00731346" w:rsidP="001232D8">
            <w:pPr>
              <w:spacing w:after="0" w:line="240" w:lineRule="auto"/>
              <w:jc w:val="center"/>
              <w:rPr>
                <w:rFonts w:eastAsia="Times New Roman"/>
                <w:b/>
                <w:bCs/>
                <w:color w:val="FFFFFF"/>
              </w:rPr>
            </w:pPr>
            <w:r w:rsidRPr="0009254C">
              <w:rPr>
                <w:rFonts w:eastAsia="Times New Roman"/>
                <w:b/>
                <w:bCs/>
                <w:color w:val="FFFFFF"/>
              </w:rPr>
              <w:t>Status</w:t>
            </w:r>
          </w:p>
        </w:tc>
      </w:tr>
      <w:tr w:rsidR="0009254C" w:rsidRPr="0009254C" w14:paraId="15ACA543" w14:textId="77777777" w:rsidTr="0009254C">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A5EB2E7"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Conduct the EFSC pilot projects in 4 States</w:t>
            </w:r>
          </w:p>
        </w:tc>
        <w:tc>
          <w:tcPr>
            <w:tcW w:w="3400" w:type="dxa"/>
            <w:tcBorders>
              <w:top w:val="nil"/>
              <w:left w:val="nil"/>
              <w:bottom w:val="single" w:sz="4" w:space="0" w:color="auto"/>
              <w:right w:val="single" w:sz="4" w:space="0" w:color="auto"/>
            </w:tcBorders>
            <w:shd w:val="clear" w:color="auto" w:fill="auto"/>
            <w:vAlign w:val="center"/>
            <w:hideMark/>
          </w:tcPr>
          <w:p w14:paraId="2E022940"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Pilot started in 4 SVRAs</w:t>
            </w:r>
          </w:p>
        </w:tc>
        <w:tc>
          <w:tcPr>
            <w:tcW w:w="2420" w:type="dxa"/>
            <w:tcBorders>
              <w:top w:val="nil"/>
              <w:left w:val="nil"/>
              <w:bottom w:val="single" w:sz="4" w:space="0" w:color="auto"/>
              <w:right w:val="single" w:sz="4" w:space="0" w:color="auto"/>
            </w:tcBorders>
            <w:shd w:val="clear" w:color="auto" w:fill="auto"/>
            <w:vAlign w:val="center"/>
            <w:hideMark/>
          </w:tcPr>
          <w:p w14:paraId="23F55438"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Slow progress in Montana and South Carolina. Targeted to date.</w:t>
            </w:r>
          </w:p>
        </w:tc>
      </w:tr>
      <w:tr w:rsidR="0009254C" w:rsidRPr="0009254C" w14:paraId="6BBB0CFA" w14:textId="77777777" w:rsidTr="0009254C">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1B4CC8AB" w14:textId="77777777" w:rsidR="0009254C" w:rsidRPr="0009254C" w:rsidRDefault="0009254C" w:rsidP="0009254C">
            <w:pPr>
              <w:spacing w:after="0" w:line="240" w:lineRule="auto"/>
              <w:rPr>
                <w:rFonts w:eastAsia="Times New Roman"/>
                <w:b/>
                <w:bCs/>
                <w:color w:val="000000"/>
              </w:rPr>
            </w:pPr>
            <w:r w:rsidRPr="0009254C">
              <w:rPr>
                <w:rFonts w:eastAsia="Times New Roman"/>
                <w:b/>
                <w:bCs/>
                <w:color w:val="000000"/>
              </w:rPr>
              <w:t>Domain: Coordination and Dissemination</w:t>
            </w:r>
          </w:p>
        </w:tc>
      </w:tr>
      <w:tr w:rsidR="0009254C" w:rsidRPr="0009254C" w14:paraId="45265E00" w14:textId="77777777" w:rsidTr="0009254C">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01EDD041"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1B5B03CA"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0DAD1C61"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Status</w:t>
            </w:r>
          </w:p>
        </w:tc>
      </w:tr>
      <w:tr w:rsidR="0009254C" w:rsidRPr="0009254C" w14:paraId="6F5EDF13" w14:textId="77777777" w:rsidTr="0009254C">
        <w:trPr>
          <w:trHeight w:val="3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BF0F8A5"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Establish QM committee</w:t>
            </w:r>
          </w:p>
        </w:tc>
        <w:tc>
          <w:tcPr>
            <w:tcW w:w="3400" w:type="dxa"/>
            <w:tcBorders>
              <w:top w:val="nil"/>
              <w:left w:val="nil"/>
              <w:bottom w:val="single" w:sz="4" w:space="0" w:color="auto"/>
              <w:right w:val="single" w:sz="4" w:space="0" w:color="auto"/>
            </w:tcBorders>
            <w:shd w:val="clear" w:color="auto" w:fill="auto"/>
            <w:vAlign w:val="center"/>
            <w:hideMark/>
          </w:tcPr>
          <w:p w14:paraId="167FB93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Committee est. and meeting</w:t>
            </w:r>
          </w:p>
        </w:tc>
        <w:tc>
          <w:tcPr>
            <w:tcW w:w="2420" w:type="dxa"/>
            <w:tcBorders>
              <w:top w:val="nil"/>
              <w:left w:val="nil"/>
              <w:bottom w:val="single" w:sz="4" w:space="0" w:color="auto"/>
              <w:right w:val="single" w:sz="4" w:space="0" w:color="auto"/>
            </w:tcBorders>
            <w:shd w:val="clear" w:color="auto" w:fill="auto"/>
            <w:vAlign w:val="center"/>
            <w:hideMark/>
          </w:tcPr>
          <w:p w14:paraId="3CF07254"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w:t>
            </w:r>
          </w:p>
        </w:tc>
      </w:tr>
      <w:tr w:rsidR="0009254C" w:rsidRPr="0009254C" w14:paraId="475A9A21" w14:textId="77777777" w:rsidTr="0009254C">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5A0BE9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Collaborate with VRTAC-QE and other TACs to support learning and KD and KT.</w:t>
            </w:r>
          </w:p>
        </w:tc>
        <w:tc>
          <w:tcPr>
            <w:tcW w:w="3400" w:type="dxa"/>
            <w:tcBorders>
              <w:top w:val="nil"/>
              <w:left w:val="nil"/>
              <w:bottom w:val="single" w:sz="4" w:space="0" w:color="auto"/>
              <w:right w:val="single" w:sz="4" w:space="0" w:color="auto"/>
            </w:tcBorders>
            <w:shd w:val="clear" w:color="auto" w:fill="auto"/>
            <w:vAlign w:val="center"/>
            <w:hideMark/>
          </w:tcPr>
          <w:p w14:paraId="22BC3C83"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 xml:space="preserve">Number </w:t>
            </w:r>
            <w:proofErr w:type="gramStart"/>
            <w:r w:rsidRPr="0009254C">
              <w:rPr>
                <w:rFonts w:eastAsia="Times New Roman"/>
                <w:color w:val="000000"/>
              </w:rPr>
              <w:t>of  TACs</w:t>
            </w:r>
            <w:proofErr w:type="gramEnd"/>
            <w:r w:rsidRPr="0009254C">
              <w:rPr>
                <w:rFonts w:eastAsia="Times New Roman"/>
                <w:color w:val="000000"/>
              </w:rPr>
              <w:t xml:space="preserve"> and other projects contacted and engaged</w:t>
            </w:r>
          </w:p>
        </w:tc>
        <w:tc>
          <w:tcPr>
            <w:tcW w:w="2420" w:type="dxa"/>
            <w:tcBorders>
              <w:top w:val="nil"/>
              <w:left w:val="nil"/>
              <w:bottom w:val="single" w:sz="4" w:space="0" w:color="auto"/>
              <w:right w:val="single" w:sz="4" w:space="0" w:color="auto"/>
            </w:tcBorders>
            <w:shd w:val="clear" w:color="auto" w:fill="auto"/>
            <w:vAlign w:val="center"/>
            <w:hideMark/>
          </w:tcPr>
          <w:p w14:paraId="2A6A3406"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3 formal partnerships in an ITAA with NTACT:C</w:t>
            </w:r>
          </w:p>
        </w:tc>
      </w:tr>
      <w:tr w:rsidR="0009254C" w:rsidRPr="0009254C" w14:paraId="69860CF1" w14:textId="77777777" w:rsidTr="0009254C">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9D7B68E"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Conference presentations with special focus on Y5</w:t>
            </w:r>
          </w:p>
        </w:tc>
        <w:tc>
          <w:tcPr>
            <w:tcW w:w="3400" w:type="dxa"/>
            <w:tcBorders>
              <w:top w:val="nil"/>
              <w:left w:val="nil"/>
              <w:bottom w:val="single" w:sz="4" w:space="0" w:color="auto"/>
              <w:right w:val="single" w:sz="4" w:space="0" w:color="auto"/>
            </w:tcBorders>
            <w:shd w:val="clear" w:color="auto" w:fill="auto"/>
            <w:vAlign w:val="center"/>
            <w:hideMark/>
          </w:tcPr>
          <w:p w14:paraId="63836C3B"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presentations</w:t>
            </w:r>
          </w:p>
        </w:tc>
        <w:tc>
          <w:tcPr>
            <w:tcW w:w="2420" w:type="dxa"/>
            <w:tcBorders>
              <w:top w:val="nil"/>
              <w:left w:val="nil"/>
              <w:bottom w:val="single" w:sz="4" w:space="0" w:color="auto"/>
              <w:right w:val="single" w:sz="4" w:space="0" w:color="auto"/>
            </w:tcBorders>
            <w:shd w:val="clear" w:color="auto" w:fill="auto"/>
            <w:vAlign w:val="center"/>
            <w:hideMark/>
          </w:tcPr>
          <w:p w14:paraId="43DBFD0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10 conference presentations to date including CSAVR, NCSAB and NCRE</w:t>
            </w:r>
          </w:p>
        </w:tc>
      </w:tr>
      <w:tr w:rsidR="0009254C" w:rsidRPr="0009254C" w14:paraId="0823588D" w14:textId="77777777" w:rsidTr="0009254C">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56AB63DF" w14:textId="77777777" w:rsidR="0009254C" w:rsidRPr="0009254C" w:rsidRDefault="0009254C" w:rsidP="0009254C">
            <w:pPr>
              <w:spacing w:after="0" w:line="240" w:lineRule="auto"/>
              <w:rPr>
                <w:rFonts w:eastAsia="Times New Roman"/>
                <w:b/>
                <w:bCs/>
                <w:color w:val="000000"/>
              </w:rPr>
            </w:pPr>
            <w:r w:rsidRPr="0009254C">
              <w:rPr>
                <w:rFonts w:eastAsia="Times New Roman"/>
                <w:b/>
                <w:bCs/>
                <w:color w:val="000000"/>
              </w:rPr>
              <w:t>Domain: Program Evaluation</w:t>
            </w:r>
          </w:p>
        </w:tc>
      </w:tr>
      <w:tr w:rsidR="0009254C" w:rsidRPr="0009254C" w14:paraId="350F1800" w14:textId="77777777" w:rsidTr="0009254C">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4F08DA56"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21ACE92A"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0179B486" w14:textId="77777777" w:rsidR="0009254C" w:rsidRPr="0009254C" w:rsidRDefault="0009254C" w:rsidP="0009254C">
            <w:pPr>
              <w:spacing w:after="0" w:line="240" w:lineRule="auto"/>
              <w:jc w:val="center"/>
              <w:rPr>
                <w:rFonts w:eastAsia="Times New Roman"/>
                <w:b/>
                <w:bCs/>
                <w:color w:val="FFFFFF"/>
              </w:rPr>
            </w:pPr>
            <w:r w:rsidRPr="0009254C">
              <w:rPr>
                <w:rFonts w:eastAsia="Times New Roman"/>
                <w:b/>
                <w:bCs/>
                <w:color w:val="FFFFFF"/>
              </w:rPr>
              <w:t>Status</w:t>
            </w:r>
          </w:p>
        </w:tc>
      </w:tr>
      <w:tr w:rsidR="0009254C" w:rsidRPr="0009254C" w14:paraId="0DB1A350" w14:textId="77777777" w:rsidTr="0009254C">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F188EFF"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Ongoing PE using quant. and qual. methods</w:t>
            </w:r>
          </w:p>
        </w:tc>
        <w:tc>
          <w:tcPr>
            <w:tcW w:w="3400" w:type="dxa"/>
            <w:tcBorders>
              <w:top w:val="nil"/>
              <w:left w:val="nil"/>
              <w:bottom w:val="single" w:sz="4" w:space="0" w:color="auto"/>
              <w:right w:val="single" w:sz="4" w:space="0" w:color="auto"/>
            </w:tcBorders>
            <w:shd w:val="clear" w:color="auto" w:fill="auto"/>
            <w:vAlign w:val="center"/>
            <w:hideMark/>
          </w:tcPr>
          <w:p w14:paraId="0C328732"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Completed eval. methods</w:t>
            </w:r>
          </w:p>
        </w:tc>
        <w:tc>
          <w:tcPr>
            <w:tcW w:w="2420" w:type="dxa"/>
            <w:tcBorders>
              <w:top w:val="nil"/>
              <w:left w:val="nil"/>
              <w:bottom w:val="single" w:sz="4" w:space="0" w:color="auto"/>
              <w:right w:val="single" w:sz="4" w:space="0" w:color="auto"/>
            </w:tcBorders>
            <w:shd w:val="clear" w:color="auto" w:fill="auto"/>
            <w:vAlign w:val="center"/>
            <w:hideMark/>
          </w:tcPr>
          <w:p w14:paraId="09794DFD" w14:textId="77777777" w:rsidR="0009254C" w:rsidRPr="0009254C" w:rsidRDefault="0009254C" w:rsidP="0009254C">
            <w:pPr>
              <w:spacing w:after="0" w:line="240" w:lineRule="auto"/>
              <w:rPr>
                <w:rFonts w:eastAsia="Times New Roman"/>
                <w:color w:val="000000"/>
              </w:rPr>
            </w:pPr>
            <w:r w:rsidRPr="0009254C">
              <w:rPr>
                <w:rFonts w:eastAsia="Times New Roman"/>
                <w:color w:val="000000"/>
              </w:rPr>
              <w:t>Ongoing</w:t>
            </w:r>
          </w:p>
        </w:tc>
      </w:tr>
    </w:tbl>
    <w:p w14:paraId="02E9A56B" w14:textId="77777777" w:rsidR="00731346" w:rsidRDefault="00633039" w:rsidP="00D015B0">
      <w:pPr>
        <w:pStyle w:val="Style1"/>
      </w:pPr>
      <w:r>
        <w:t xml:space="preserve">The VRTAC-QM is on track to meet </w:t>
      </w:r>
      <w:proofErr w:type="gramStart"/>
      <w:r>
        <w:t>all of</w:t>
      </w:r>
      <w:proofErr w:type="gramEnd"/>
      <w:r>
        <w:t xml:space="preserve"> the objectives and outcomes identified in </w:t>
      </w:r>
      <w:r w:rsidR="00731346">
        <w:t xml:space="preserve">the </w:t>
      </w:r>
      <w:r>
        <w:t xml:space="preserve">Year </w:t>
      </w:r>
      <w:r w:rsidR="00731346">
        <w:t>Two work plan except for the following:</w:t>
      </w:r>
    </w:p>
    <w:p w14:paraId="25D2F9E3" w14:textId="44AA638F" w:rsidR="00633039" w:rsidRDefault="00731346" w:rsidP="00615183">
      <w:pPr>
        <w:pStyle w:val="Style1"/>
        <w:numPr>
          <w:ilvl w:val="3"/>
          <w:numId w:val="1"/>
        </w:numPr>
        <w:ind w:left="540" w:hanging="450"/>
      </w:pPr>
      <w:r>
        <w:t>The launch of the Management Concepts training was delayed due to revision of the content, but three of the four required courses are available as of this writing. The fourth course will be available in Year 3.</w:t>
      </w:r>
    </w:p>
    <w:p w14:paraId="57BA4528" w14:textId="6BD1F22F" w:rsidR="00731346" w:rsidRDefault="00731346" w:rsidP="00615183">
      <w:pPr>
        <w:pStyle w:val="Style1"/>
        <w:numPr>
          <w:ilvl w:val="3"/>
          <w:numId w:val="1"/>
        </w:numPr>
        <w:ind w:left="540" w:hanging="450"/>
      </w:pPr>
      <w:r>
        <w:t>The CRA and SARA special projects have been delayed in starting. The CRA project is making substantial progress and should begin prior to the end of this year</w:t>
      </w:r>
      <w:r w:rsidR="00FC4ECB">
        <w:t>. The SARA project is refocusing on management of the VR program rather than the SSA reimbursement, so we expect progress here by the end of the year.</w:t>
      </w:r>
    </w:p>
    <w:p w14:paraId="7044EA69" w14:textId="2BE5240E" w:rsidR="002D41F7" w:rsidRDefault="002D41F7" w:rsidP="00615183">
      <w:pPr>
        <w:pStyle w:val="Style1"/>
        <w:numPr>
          <w:ilvl w:val="3"/>
          <w:numId w:val="1"/>
        </w:numPr>
        <w:ind w:left="540" w:hanging="450"/>
      </w:pPr>
      <w:r>
        <w:t>The Benchmark-QM, now named the VR Wellness Check, was delayed because of review. We anticipate that it will be complete either in the fourth quarter of this year or no later than the first quarter of Year 3.</w:t>
      </w:r>
    </w:p>
    <w:p w14:paraId="53B9E0F9" w14:textId="6B556616" w:rsidR="00756FD7" w:rsidRDefault="00756FD7" w:rsidP="00756FD7">
      <w:pPr>
        <w:pStyle w:val="Heading2"/>
      </w:pPr>
      <w:bookmarkStart w:id="30" w:name="_Toc102116152"/>
      <w:r>
        <w:t>Progress with Supplement:</w:t>
      </w:r>
      <w:bookmarkEnd w:id="30"/>
    </w:p>
    <w:p w14:paraId="463A4CEF" w14:textId="5016E069" w:rsidR="00756FD7" w:rsidRDefault="00756FD7" w:rsidP="00756FD7">
      <w:pPr>
        <w:pStyle w:val="Style1"/>
      </w:pPr>
      <w:r>
        <w:t>The VRTAC-QM received a supplement from RSA to help meet the demand for TA and training in Year 2. This supplement was critical and essential for us to be able to develop the ITAAs we did and to meet the targeted demand for TA. In the tables below we compare our original targets in our Cooperative Agreement with the revised targets with the supplement and our progress in meeting these new targets to date.</w:t>
      </w:r>
    </w:p>
    <w:p w14:paraId="68DB41A2" w14:textId="77777777" w:rsidR="00AF61A5" w:rsidRDefault="00AF61A5">
      <w:r>
        <w:br w:type="page"/>
      </w:r>
    </w:p>
    <w:p w14:paraId="3215E0F5" w14:textId="77777777" w:rsidR="00AF61A5" w:rsidRDefault="00AF61A5" w:rsidP="00AF61A5">
      <w:pPr>
        <w:pStyle w:val="NoSpacing"/>
      </w:pPr>
      <w:r>
        <w:lastRenderedPageBreak/>
        <w:t xml:space="preserve">Table 4: </w:t>
      </w:r>
    </w:p>
    <w:p w14:paraId="18AC0DF7" w14:textId="3E71E2C8" w:rsidR="00AF61A5" w:rsidRPr="00AF61A5" w:rsidRDefault="00AF61A5" w:rsidP="00AF61A5">
      <w:pPr>
        <w:pStyle w:val="NoSpacing"/>
        <w:rPr>
          <w:i/>
          <w:iCs/>
        </w:rPr>
      </w:pPr>
      <w:r w:rsidRPr="00AF61A5">
        <w:rPr>
          <w:i/>
          <w:iCs/>
        </w:rPr>
        <w:t>Project Measures</w:t>
      </w:r>
    </w:p>
    <w:tbl>
      <w:tblPr>
        <w:tblW w:w="6320" w:type="dxa"/>
        <w:tblLook w:val="04A0" w:firstRow="1" w:lastRow="0" w:firstColumn="1" w:lastColumn="0" w:noHBand="0" w:noVBand="1"/>
      </w:tblPr>
      <w:tblGrid>
        <w:gridCol w:w="1620"/>
        <w:gridCol w:w="1980"/>
        <w:gridCol w:w="2720"/>
      </w:tblGrid>
      <w:tr w:rsidR="00756FD7" w:rsidRPr="00756FD7" w14:paraId="17640AC6" w14:textId="77777777" w:rsidTr="00756FD7">
        <w:trPr>
          <w:trHeight w:val="640"/>
        </w:trPr>
        <w:tc>
          <w:tcPr>
            <w:tcW w:w="632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CE0CEA3" w14:textId="73DF1433" w:rsidR="00756FD7" w:rsidRPr="00756FD7" w:rsidRDefault="00756FD7" w:rsidP="00756FD7">
            <w:pPr>
              <w:spacing w:after="0" w:line="240" w:lineRule="auto"/>
              <w:rPr>
                <w:rFonts w:eastAsia="Times New Roman"/>
                <w:b/>
                <w:bCs/>
                <w:color w:val="000000"/>
              </w:rPr>
            </w:pPr>
            <w:r>
              <w:br w:type="page"/>
            </w:r>
            <w:r w:rsidRPr="00756FD7">
              <w:rPr>
                <w:rFonts w:eastAsia="Times New Roman"/>
                <w:b/>
                <w:bCs/>
                <w:color w:val="000000"/>
                <w:u w:val="single"/>
              </w:rPr>
              <w:t>Project Measure 1</w:t>
            </w:r>
            <w:r w:rsidRPr="00756FD7">
              <w:rPr>
                <w:rFonts w:eastAsia="Times New Roman"/>
                <w:b/>
                <w:bCs/>
                <w:color w:val="000000"/>
              </w:rPr>
              <w:t>: Number of ITAAs signed and in progress during the project year</w:t>
            </w:r>
          </w:p>
        </w:tc>
      </w:tr>
      <w:tr w:rsidR="00756FD7" w:rsidRPr="00756FD7" w14:paraId="2836430A"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3FE134F"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Project Year</w:t>
            </w:r>
          </w:p>
        </w:tc>
        <w:tc>
          <w:tcPr>
            <w:tcW w:w="1980" w:type="dxa"/>
            <w:tcBorders>
              <w:top w:val="nil"/>
              <w:left w:val="nil"/>
              <w:bottom w:val="single" w:sz="4" w:space="0" w:color="auto"/>
              <w:right w:val="single" w:sz="4" w:space="0" w:color="auto"/>
            </w:tcBorders>
            <w:shd w:val="clear" w:color="auto" w:fill="auto"/>
            <w:vAlign w:val="center"/>
            <w:hideMark/>
          </w:tcPr>
          <w:p w14:paraId="7537C58B"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Original Target</w:t>
            </w:r>
          </w:p>
        </w:tc>
        <w:tc>
          <w:tcPr>
            <w:tcW w:w="2720" w:type="dxa"/>
            <w:tcBorders>
              <w:top w:val="nil"/>
              <w:left w:val="nil"/>
              <w:bottom w:val="single" w:sz="4" w:space="0" w:color="auto"/>
              <w:right w:val="single" w:sz="4" w:space="0" w:color="auto"/>
            </w:tcBorders>
            <w:shd w:val="clear" w:color="auto" w:fill="auto"/>
            <w:vAlign w:val="center"/>
            <w:hideMark/>
          </w:tcPr>
          <w:p w14:paraId="77A24B78"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Target with Supplement</w:t>
            </w:r>
          </w:p>
        </w:tc>
      </w:tr>
      <w:tr w:rsidR="00756FD7" w:rsidRPr="00756FD7" w14:paraId="022B3E0B"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4B6A7A1"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1</w:t>
            </w:r>
          </w:p>
        </w:tc>
        <w:tc>
          <w:tcPr>
            <w:tcW w:w="1980" w:type="dxa"/>
            <w:tcBorders>
              <w:top w:val="nil"/>
              <w:left w:val="nil"/>
              <w:bottom w:val="single" w:sz="4" w:space="0" w:color="auto"/>
              <w:right w:val="single" w:sz="4" w:space="0" w:color="auto"/>
            </w:tcBorders>
            <w:shd w:val="clear" w:color="auto" w:fill="auto"/>
            <w:vAlign w:val="center"/>
            <w:hideMark/>
          </w:tcPr>
          <w:p w14:paraId="2E49B2E4"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w:t>
            </w:r>
          </w:p>
        </w:tc>
        <w:tc>
          <w:tcPr>
            <w:tcW w:w="2720" w:type="dxa"/>
            <w:tcBorders>
              <w:top w:val="nil"/>
              <w:left w:val="nil"/>
              <w:bottom w:val="single" w:sz="4" w:space="0" w:color="auto"/>
              <w:right w:val="single" w:sz="4" w:space="0" w:color="auto"/>
            </w:tcBorders>
            <w:shd w:val="clear" w:color="auto" w:fill="auto"/>
            <w:vAlign w:val="center"/>
            <w:hideMark/>
          </w:tcPr>
          <w:p w14:paraId="5C60A1C7"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w:t>
            </w:r>
          </w:p>
        </w:tc>
      </w:tr>
      <w:tr w:rsidR="00756FD7" w:rsidRPr="00756FD7" w14:paraId="651AC1DA"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FF7CAF1"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2</w:t>
            </w:r>
          </w:p>
        </w:tc>
        <w:tc>
          <w:tcPr>
            <w:tcW w:w="1980" w:type="dxa"/>
            <w:tcBorders>
              <w:top w:val="nil"/>
              <w:left w:val="nil"/>
              <w:bottom w:val="single" w:sz="4" w:space="0" w:color="auto"/>
              <w:right w:val="single" w:sz="4" w:space="0" w:color="auto"/>
            </w:tcBorders>
            <w:shd w:val="clear" w:color="auto" w:fill="auto"/>
            <w:vAlign w:val="center"/>
            <w:hideMark/>
          </w:tcPr>
          <w:p w14:paraId="70315A10"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14:paraId="305918D7"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7</w:t>
            </w:r>
          </w:p>
        </w:tc>
      </w:tr>
      <w:tr w:rsidR="00756FD7" w:rsidRPr="00756FD7" w14:paraId="0DD8AF6C"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E8BA88D"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3</w:t>
            </w:r>
          </w:p>
        </w:tc>
        <w:tc>
          <w:tcPr>
            <w:tcW w:w="1980" w:type="dxa"/>
            <w:tcBorders>
              <w:top w:val="nil"/>
              <w:left w:val="nil"/>
              <w:bottom w:val="single" w:sz="4" w:space="0" w:color="auto"/>
              <w:right w:val="single" w:sz="4" w:space="0" w:color="auto"/>
            </w:tcBorders>
            <w:shd w:val="clear" w:color="auto" w:fill="auto"/>
            <w:vAlign w:val="center"/>
            <w:hideMark/>
          </w:tcPr>
          <w:p w14:paraId="5ECE19B0"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14:paraId="23BC676E"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7</w:t>
            </w:r>
          </w:p>
        </w:tc>
      </w:tr>
      <w:tr w:rsidR="00756FD7" w:rsidRPr="00756FD7" w14:paraId="5A390374"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CCE6826"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4</w:t>
            </w:r>
          </w:p>
        </w:tc>
        <w:tc>
          <w:tcPr>
            <w:tcW w:w="1980" w:type="dxa"/>
            <w:tcBorders>
              <w:top w:val="nil"/>
              <w:left w:val="nil"/>
              <w:bottom w:val="single" w:sz="4" w:space="0" w:color="auto"/>
              <w:right w:val="single" w:sz="4" w:space="0" w:color="auto"/>
            </w:tcBorders>
            <w:shd w:val="clear" w:color="auto" w:fill="auto"/>
            <w:vAlign w:val="center"/>
            <w:hideMark/>
          </w:tcPr>
          <w:p w14:paraId="257E5033"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14:paraId="79D7788F"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7</w:t>
            </w:r>
          </w:p>
        </w:tc>
      </w:tr>
      <w:tr w:rsidR="00756FD7" w:rsidRPr="00756FD7" w14:paraId="4F6A0C75"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8465C92"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5</w:t>
            </w:r>
          </w:p>
        </w:tc>
        <w:tc>
          <w:tcPr>
            <w:tcW w:w="1980" w:type="dxa"/>
            <w:tcBorders>
              <w:top w:val="nil"/>
              <w:left w:val="nil"/>
              <w:bottom w:val="single" w:sz="4" w:space="0" w:color="auto"/>
              <w:right w:val="single" w:sz="4" w:space="0" w:color="auto"/>
            </w:tcBorders>
            <w:shd w:val="clear" w:color="auto" w:fill="auto"/>
            <w:vAlign w:val="center"/>
            <w:hideMark/>
          </w:tcPr>
          <w:p w14:paraId="1E5A284E"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18</w:t>
            </w:r>
          </w:p>
        </w:tc>
        <w:tc>
          <w:tcPr>
            <w:tcW w:w="2720" w:type="dxa"/>
            <w:tcBorders>
              <w:top w:val="nil"/>
              <w:left w:val="nil"/>
              <w:bottom w:val="single" w:sz="4" w:space="0" w:color="auto"/>
              <w:right w:val="single" w:sz="4" w:space="0" w:color="auto"/>
            </w:tcBorders>
            <w:shd w:val="clear" w:color="auto" w:fill="auto"/>
            <w:vAlign w:val="center"/>
            <w:hideMark/>
          </w:tcPr>
          <w:p w14:paraId="03C8F4F5"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24</w:t>
            </w:r>
          </w:p>
        </w:tc>
      </w:tr>
      <w:tr w:rsidR="00756FD7" w:rsidRPr="00756FD7" w14:paraId="18E42688" w14:textId="77777777" w:rsidTr="00756FD7">
        <w:trPr>
          <w:trHeight w:val="31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CB9D9"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Total as of 3-31-22</w:t>
            </w:r>
          </w:p>
        </w:tc>
        <w:tc>
          <w:tcPr>
            <w:tcW w:w="2720" w:type="dxa"/>
            <w:tcBorders>
              <w:top w:val="nil"/>
              <w:left w:val="nil"/>
              <w:bottom w:val="single" w:sz="4" w:space="0" w:color="auto"/>
              <w:right w:val="single" w:sz="4" w:space="0" w:color="auto"/>
            </w:tcBorders>
            <w:shd w:val="clear" w:color="auto" w:fill="auto"/>
            <w:vAlign w:val="center"/>
            <w:hideMark/>
          </w:tcPr>
          <w:p w14:paraId="10228F67"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8</w:t>
            </w:r>
          </w:p>
        </w:tc>
      </w:tr>
      <w:tr w:rsidR="00756FD7" w:rsidRPr="00756FD7" w14:paraId="279BB418" w14:textId="77777777" w:rsidTr="00985060">
        <w:trPr>
          <w:trHeight w:val="310"/>
        </w:trPr>
        <w:tc>
          <w:tcPr>
            <w:tcW w:w="3600" w:type="dxa"/>
            <w:gridSpan w:val="2"/>
            <w:tcBorders>
              <w:top w:val="single" w:sz="4" w:space="0" w:color="auto"/>
              <w:bottom w:val="single" w:sz="4" w:space="0" w:color="auto"/>
            </w:tcBorders>
            <w:shd w:val="clear" w:color="auto" w:fill="auto"/>
            <w:vAlign w:val="center"/>
          </w:tcPr>
          <w:p w14:paraId="475D5B2B" w14:textId="77777777" w:rsidR="00756FD7" w:rsidRPr="00756FD7" w:rsidRDefault="00756FD7" w:rsidP="00756FD7">
            <w:pPr>
              <w:spacing w:after="0" w:line="240" w:lineRule="auto"/>
              <w:jc w:val="right"/>
              <w:rPr>
                <w:rFonts w:eastAsia="Times New Roman"/>
                <w:b/>
                <w:bCs/>
                <w:color w:val="000000"/>
              </w:rPr>
            </w:pPr>
          </w:p>
        </w:tc>
        <w:tc>
          <w:tcPr>
            <w:tcW w:w="2720" w:type="dxa"/>
            <w:tcBorders>
              <w:top w:val="single" w:sz="4" w:space="0" w:color="auto"/>
              <w:bottom w:val="single" w:sz="4" w:space="0" w:color="auto"/>
            </w:tcBorders>
            <w:shd w:val="clear" w:color="auto" w:fill="auto"/>
            <w:vAlign w:val="center"/>
          </w:tcPr>
          <w:p w14:paraId="637F598F" w14:textId="77777777" w:rsidR="00756FD7" w:rsidRPr="00756FD7" w:rsidRDefault="00756FD7" w:rsidP="00756FD7">
            <w:pPr>
              <w:spacing w:after="0" w:line="240" w:lineRule="auto"/>
              <w:jc w:val="right"/>
              <w:rPr>
                <w:rFonts w:eastAsia="Times New Roman"/>
                <w:b/>
                <w:bCs/>
                <w:color w:val="000000"/>
              </w:rPr>
            </w:pPr>
          </w:p>
        </w:tc>
      </w:tr>
      <w:tr w:rsidR="00756FD7" w:rsidRPr="00756FD7" w14:paraId="581A4945" w14:textId="77777777" w:rsidTr="00985060">
        <w:trPr>
          <w:trHeight w:val="590"/>
        </w:trPr>
        <w:tc>
          <w:tcPr>
            <w:tcW w:w="632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2EBE5D9E" w14:textId="77777777" w:rsidR="00756FD7" w:rsidRPr="00756FD7" w:rsidRDefault="00756FD7" w:rsidP="00756FD7">
            <w:pPr>
              <w:spacing w:after="0" w:line="240" w:lineRule="auto"/>
              <w:rPr>
                <w:rFonts w:eastAsia="Times New Roman"/>
                <w:b/>
                <w:bCs/>
                <w:color w:val="000000"/>
              </w:rPr>
            </w:pPr>
            <w:r w:rsidRPr="00756FD7">
              <w:rPr>
                <w:rFonts w:eastAsia="Times New Roman"/>
                <w:b/>
                <w:bCs/>
                <w:color w:val="000000"/>
                <w:u w:val="single"/>
              </w:rPr>
              <w:t>Project Measure 2</w:t>
            </w:r>
            <w:r w:rsidRPr="00756FD7">
              <w:rPr>
                <w:rFonts w:eastAsia="Times New Roman"/>
                <w:b/>
                <w:bCs/>
                <w:color w:val="000000"/>
              </w:rPr>
              <w:t>: Number of ITAAs completed during the project year</w:t>
            </w:r>
          </w:p>
        </w:tc>
      </w:tr>
      <w:tr w:rsidR="00756FD7" w:rsidRPr="00756FD7" w14:paraId="19CA1E42"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379B1DD"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Project Year</w:t>
            </w:r>
          </w:p>
        </w:tc>
        <w:tc>
          <w:tcPr>
            <w:tcW w:w="1980" w:type="dxa"/>
            <w:tcBorders>
              <w:top w:val="nil"/>
              <w:left w:val="nil"/>
              <w:bottom w:val="single" w:sz="4" w:space="0" w:color="auto"/>
              <w:right w:val="single" w:sz="4" w:space="0" w:color="auto"/>
            </w:tcBorders>
            <w:shd w:val="clear" w:color="auto" w:fill="auto"/>
            <w:vAlign w:val="center"/>
            <w:hideMark/>
          </w:tcPr>
          <w:p w14:paraId="6EA91DEF"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Original Target</w:t>
            </w:r>
          </w:p>
        </w:tc>
        <w:tc>
          <w:tcPr>
            <w:tcW w:w="2720" w:type="dxa"/>
            <w:tcBorders>
              <w:top w:val="nil"/>
              <w:left w:val="nil"/>
              <w:bottom w:val="single" w:sz="4" w:space="0" w:color="auto"/>
              <w:right w:val="single" w:sz="4" w:space="0" w:color="auto"/>
            </w:tcBorders>
            <w:shd w:val="clear" w:color="auto" w:fill="auto"/>
            <w:vAlign w:val="center"/>
            <w:hideMark/>
          </w:tcPr>
          <w:p w14:paraId="68EE51EF"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Target with Supplement</w:t>
            </w:r>
          </w:p>
        </w:tc>
      </w:tr>
      <w:tr w:rsidR="00756FD7" w:rsidRPr="00756FD7" w14:paraId="7F63EED3"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9F79B0C"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1</w:t>
            </w:r>
          </w:p>
        </w:tc>
        <w:tc>
          <w:tcPr>
            <w:tcW w:w="1980" w:type="dxa"/>
            <w:tcBorders>
              <w:top w:val="nil"/>
              <w:left w:val="nil"/>
              <w:bottom w:val="single" w:sz="4" w:space="0" w:color="auto"/>
              <w:right w:val="single" w:sz="4" w:space="0" w:color="auto"/>
            </w:tcBorders>
            <w:shd w:val="clear" w:color="auto" w:fill="auto"/>
            <w:vAlign w:val="center"/>
            <w:hideMark/>
          </w:tcPr>
          <w:p w14:paraId="2B0409BB"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0</w:t>
            </w:r>
          </w:p>
        </w:tc>
        <w:tc>
          <w:tcPr>
            <w:tcW w:w="2720" w:type="dxa"/>
            <w:tcBorders>
              <w:top w:val="nil"/>
              <w:left w:val="nil"/>
              <w:bottom w:val="single" w:sz="4" w:space="0" w:color="auto"/>
              <w:right w:val="single" w:sz="4" w:space="0" w:color="auto"/>
            </w:tcBorders>
            <w:shd w:val="clear" w:color="auto" w:fill="auto"/>
            <w:vAlign w:val="center"/>
            <w:hideMark/>
          </w:tcPr>
          <w:p w14:paraId="54F613D6"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0</w:t>
            </w:r>
          </w:p>
        </w:tc>
      </w:tr>
      <w:tr w:rsidR="00756FD7" w:rsidRPr="00756FD7" w14:paraId="10D0C17F"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7CE1F0C"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2</w:t>
            </w:r>
          </w:p>
        </w:tc>
        <w:tc>
          <w:tcPr>
            <w:tcW w:w="1980" w:type="dxa"/>
            <w:tcBorders>
              <w:top w:val="nil"/>
              <w:left w:val="nil"/>
              <w:bottom w:val="single" w:sz="4" w:space="0" w:color="auto"/>
              <w:right w:val="single" w:sz="4" w:space="0" w:color="auto"/>
            </w:tcBorders>
            <w:shd w:val="clear" w:color="auto" w:fill="auto"/>
            <w:vAlign w:val="center"/>
            <w:hideMark/>
          </w:tcPr>
          <w:p w14:paraId="7989D5B7"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w:t>
            </w:r>
          </w:p>
        </w:tc>
        <w:tc>
          <w:tcPr>
            <w:tcW w:w="2720" w:type="dxa"/>
            <w:tcBorders>
              <w:top w:val="nil"/>
              <w:left w:val="nil"/>
              <w:bottom w:val="single" w:sz="4" w:space="0" w:color="auto"/>
              <w:right w:val="single" w:sz="4" w:space="0" w:color="auto"/>
            </w:tcBorders>
            <w:shd w:val="clear" w:color="auto" w:fill="auto"/>
            <w:vAlign w:val="center"/>
            <w:hideMark/>
          </w:tcPr>
          <w:p w14:paraId="37D8BCD3"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w:t>
            </w:r>
          </w:p>
        </w:tc>
      </w:tr>
      <w:tr w:rsidR="00756FD7" w:rsidRPr="00756FD7" w14:paraId="6F71C4CD"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39BEC9F"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3</w:t>
            </w:r>
          </w:p>
        </w:tc>
        <w:tc>
          <w:tcPr>
            <w:tcW w:w="1980" w:type="dxa"/>
            <w:tcBorders>
              <w:top w:val="nil"/>
              <w:left w:val="nil"/>
              <w:bottom w:val="single" w:sz="4" w:space="0" w:color="auto"/>
              <w:right w:val="single" w:sz="4" w:space="0" w:color="auto"/>
            </w:tcBorders>
            <w:shd w:val="clear" w:color="auto" w:fill="auto"/>
            <w:vAlign w:val="center"/>
            <w:hideMark/>
          </w:tcPr>
          <w:p w14:paraId="7FD14E2C"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w:t>
            </w:r>
          </w:p>
        </w:tc>
        <w:tc>
          <w:tcPr>
            <w:tcW w:w="2720" w:type="dxa"/>
            <w:tcBorders>
              <w:top w:val="nil"/>
              <w:left w:val="nil"/>
              <w:bottom w:val="single" w:sz="4" w:space="0" w:color="auto"/>
              <w:right w:val="single" w:sz="4" w:space="0" w:color="auto"/>
            </w:tcBorders>
            <w:shd w:val="clear" w:color="auto" w:fill="auto"/>
            <w:vAlign w:val="center"/>
            <w:hideMark/>
          </w:tcPr>
          <w:p w14:paraId="1BB0F9F4"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w:t>
            </w:r>
          </w:p>
        </w:tc>
      </w:tr>
      <w:tr w:rsidR="00756FD7" w:rsidRPr="00756FD7" w14:paraId="46FA7368"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A97F164"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4</w:t>
            </w:r>
          </w:p>
        </w:tc>
        <w:tc>
          <w:tcPr>
            <w:tcW w:w="1980" w:type="dxa"/>
            <w:tcBorders>
              <w:top w:val="nil"/>
              <w:left w:val="nil"/>
              <w:bottom w:val="single" w:sz="4" w:space="0" w:color="auto"/>
              <w:right w:val="single" w:sz="4" w:space="0" w:color="auto"/>
            </w:tcBorders>
            <w:shd w:val="clear" w:color="auto" w:fill="auto"/>
            <w:vAlign w:val="center"/>
            <w:hideMark/>
          </w:tcPr>
          <w:p w14:paraId="32149286"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6</w:t>
            </w:r>
          </w:p>
        </w:tc>
        <w:tc>
          <w:tcPr>
            <w:tcW w:w="2720" w:type="dxa"/>
            <w:tcBorders>
              <w:top w:val="nil"/>
              <w:left w:val="nil"/>
              <w:bottom w:val="single" w:sz="4" w:space="0" w:color="auto"/>
              <w:right w:val="single" w:sz="4" w:space="0" w:color="auto"/>
            </w:tcBorders>
            <w:shd w:val="clear" w:color="auto" w:fill="auto"/>
            <w:vAlign w:val="center"/>
            <w:hideMark/>
          </w:tcPr>
          <w:p w14:paraId="5A45E8A2"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6</w:t>
            </w:r>
          </w:p>
        </w:tc>
      </w:tr>
      <w:tr w:rsidR="00756FD7" w:rsidRPr="00756FD7" w14:paraId="0D5B4BF9"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12A2D7B"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5</w:t>
            </w:r>
          </w:p>
        </w:tc>
        <w:tc>
          <w:tcPr>
            <w:tcW w:w="1980" w:type="dxa"/>
            <w:tcBorders>
              <w:top w:val="nil"/>
              <w:left w:val="nil"/>
              <w:bottom w:val="single" w:sz="4" w:space="0" w:color="auto"/>
              <w:right w:val="single" w:sz="4" w:space="0" w:color="auto"/>
            </w:tcBorders>
            <w:shd w:val="clear" w:color="auto" w:fill="auto"/>
            <w:vAlign w:val="center"/>
            <w:hideMark/>
          </w:tcPr>
          <w:p w14:paraId="1A1F9337"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9</w:t>
            </w:r>
          </w:p>
        </w:tc>
        <w:tc>
          <w:tcPr>
            <w:tcW w:w="2720" w:type="dxa"/>
            <w:tcBorders>
              <w:top w:val="nil"/>
              <w:left w:val="nil"/>
              <w:bottom w:val="single" w:sz="4" w:space="0" w:color="auto"/>
              <w:right w:val="single" w:sz="4" w:space="0" w:color="auto"/>
            </w:tcBorders>
            <w:shd w:val="clear" w:color="auto" w:fill="auto"/>
            <w:vAlign w:val="center"/>
            <w:hideMark/>
          </w:tcPr>
          <w:p w14:paraId="485F5C0D"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15</w:t>
            </w:r>
          </w:p>
        </w:tc>
      </w:tr>
      <w:tr w:rsidR="00756FD7" w:rsidRPr="00756FD7" w14:paraId="4A4967D5"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27E3C7E"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Total</w:t>
            </w:r>
          </w:p>
        </w:tc>
        <w:tc>
          <w:tcPr>
            <w:tcW w:w="1980" w:type="dxa"/>
            <w:tcBorders>
              <w:top w:val="nil"/>
              <w:left w:val="nil"/>
              <w:bottom w:val="single" w:sz="4" w:space="0" w:color="auto"/>
              <w:right w:val="single" w:sz="4" w:space="0" w:color="auto"/>
            </w:tcBorders>
            <w:shd w:val="clear" w:color="auto" w:fill="auto"/>
            <w:vAlign w:val="center"/>
            <w:hideMark/>
          </w:tcPr>
          <w:p w14:paraId="3FE3679E"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18</w:t>
            </w:r>
          </w:p>
        </w:tc>
        <w:tc>
          <w:tcPr>
            <w:tcW w:w="2720" w:type="dxa"/>
            <w:tcBorders>
              <w:top w:val="nil"/>
              <w:left w:val="nil"/>
              <w:bottom w:val="single" w:sz="4" w:space="0" w:color="auto"/>
              <w:right w:val="single" w:sz="4" w:space="0" w:color="auto"/>
            </w:tcBorders>
            <w:shd w:val="clear" w:color="auto" w:fill="auto"/>
            <w:vAlign w:val="center"/>
            <w:hideMark/>
          </w:tcPr>
          <w:p w14:paraId="120AFAEF"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24</w:t>
            </w:r>
          </w:p>
        </w:tc>
      </w:tr>
      <w:tr w:rsidR="00756FD7" w:rsidRPr="00756FD7" w14:paraId="564062A0" w14:textId="77777777" w:rsidTr="00985060">
        <w:trPr>
          <w:trHeight w:val="31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213B61"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Total as of 3-31-22</w:t>
            </w:r>
          </w:p>
        </w:tc>
        <w:tc>
          <w:tcPr>
            <w:tcW w:w="2720" w:type="dxa"/>
            <w:tcBorders>
              <w:top w:val="nil"/>
              <w:left w:val="nil"/>
              <w:bottom w:val="single" w:sz="4" w:space="0" w:color="auto"/>
              <w:right w:val="single" w:sz="4" w:space="0" w:color="auto"/>
            </w:tcBorders>
            <w:shd w:val="clear" w:color="auto" w:fill="auto"/>
            <w:vAlign w:val="center"/>
            <w:hideMark/>
          </w:tcPr>
          <w:p w14:paraId="7EEFF2BE"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0</w:t>
            </w:r>
          </w:p>
        </w:tc>
      </w:tr>
      <w:tr w:rsidR="00985060" w:rsidRPr="00756FD7" w14:paraId="21A13AE2" w14:textId="77777777" w:rsidTr="00985060">
        <w:trPr>
          <w:trHeight w:val="310"/>
        </w:trPr>
        <w:tc>
          <w:tcPr>
            <w:tcW w:w="3600" w:type="dxa"/>
            <w:gridSpan w:val="2"/>
            <w:tcBorders>
              <w:top w:val="single" w:sz="4" w:space="0" w:color="auto"/>
              <w:bottom w:val="single" w:sz="4" w:space="0" w:color="auto"/>
            </w:tcBorders>
            <w:shd w:val="clear" w:color="auto" w:fill="auto"/>
            <w:vAlign w:val="center"/>
          </w:tcPr>
          <w:p w14:paraId="1E6ADC81" w14:textId="77777777" w:rsidR="00985060" w:rsidRPr="00756FD7" w:rsidRDefault="00985060" w:rsidP="00756FD7">
            <w:pPr>
              <w:spacing w:after="0" w:line="240" w:lineRule="auto"/>
              <w:jc w:val="right"/>
              <w:rPr>
                <w:rFonts w:eastAsia="Times New Roman"/>
                <w:b/>
                <w:bCs/>
                <w:color w:val="000000"/>
              </w:rPr>
            </w:pPr>
          </w:p>
        </w:tc>
        <w:tc>
          <w:tcPr>
            <w:tcW w:w="2720" w:type="dxa"/>
            <w:tcBorders>
              <w:top w:val="single" w:sz="4" w:space="0" w:color="auto"/>
              <w:bottom w:val="single" w:sz="4" w:space="0" w:color="auto"/>
            </w:tcBorders>
            <w:shd w:val="clear" w:color="auto" w:fill="auto"/>
            <w:vAlign w:val="center"/>
          </w:tcPr>
          <w:p w14:paraId="0499F6E4" w14:textId="77777777" w:rsidR="00985060" w:rsidRPr="00756FD7" w:rsidRDefault="00985060" w:rsidP="00756FD7">
            <w:pPr>
              <w:spacing w:after="0" w:line="240" w:lineRule="auto"/>
              <w:jc w:val="right"/>
              <w:rPr>
                <w:rFonts w:eastAsia="Times New Roman"/>
                <w:b/>
                <w:bCs/>
                <w:color w:val="000000"/>
              </w:rPr>
            </w:pPr>
          </w:p>
        </w:tc>
      </w:tr>
      <w:tr w:rsidR="00756FD7" w:rsidRPr="00756FD7" w14:paraId="4E977987" w14:textId="77777777" w:rsidTr="00985060">
        <w:trPr>
          <w:trHeight w:val="710"/>
        </w:trPr>
        <w:tc>
          <w:tcPr>
            <w:tcW w:w="632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43C0BA4" w14:textId="77777777" w:rsidR="00756FD7" w:rsidRPr="00756FD7" w:rsidRDefault="00756FD7" w:rsidP="00756FD7">
            <w:pPr>
              <w:spacing w:after="0" w:line="240" w:lineRule="auto"/>
              <w:rPr>
                <w:rFonts w:eastAsia="Times New Roman"/>
                <w:b/>
                <w:bCs/>
                <w:color w:val="000000"/>
              </w:rPr>
            </w:pPr>
            <w:r w:rsidRPr="00756FD7">
              <w:rPr>
                <w:rFonts w:eastAsia="Times New Roman"/>
                <w:b/>
                <w:bCs/>
                <w:color w:val="000000"/>
                <w:u w:val="single"/>
              </w:rPr>
              <w:t>Project Measure 3</w:t>
            </w:r>
            <w:r w:rsidRPr="00756FD7">
              <w:rPr>
                <w:rFonts w:eastAsia="Times New Roman"/>
                <w:b/>
                <w:bCs/>
                <w:color w:val="000000"/>
              </w:rPr>
              <w:t>: Number of SWOT assessments and reports completed</w:t>
            </w:r>
          </w:p>
        </w:tc>
      </w:tr>
      <w:tr w:rsidR="00756FD7" w:rsidRPr="00756FD7" w14:paraId="096618A2"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41E1FEA"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Project Year</w:t>
            </w:r>
          </w:p>
        </w:tc>
        <w:tc>
          <w:tcPr>
            <w:tcW w:w="1980" w:type="dxa"/>
            <w:tcBorders>
              <w:top w:val="nil"/>
              <w:left w:val="nil"/>
              <w:bottom w:val="single" w:sz="4" w:space="0" w:color="auto"/>
              <w:right w:val="single" w:sz="4" w:space="0" w:color="auto"/>
            </w:tcBorders>
            <w:shd w:val="clear" w:color="auto" w:fill="auto"/>
            <w:vAlign w:val="center"/>
            <w:hideMark/>
          </w:tcPr>
          <w:p w14:paraId="32BB0EC1"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Original Target</w:t>
            </w:r>
          </w:p>
        </w:tc>
        <w:tc>
          <w:tcPr>
            <w:tcW w:w="2720" w:type="dxa"/>
            <w:tcBorders>
              <w:top w:val="nil"/>
              <w:left w:val="nil"/>
              <w:bottom w:val="single" w:sz="4" w:space="0" w:color="auto"/>
              <w:right w:val="single" w:sz="4" w:space="0" w:color="auto"/>
            </w:tcBorders>
            <w:shd w:val="clear" w:color="auto" w:fill="auto"/>
            <w:vAlign w:val="center"/>
            <w:hideMark/>
          </w:tcPr>
          <w:p w14:paraId="4D31C52C"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Target with Supplement</w:t>
            </w:r>
          </w:p>
        </w:tc>
      </w:tr>
      <w:tr w:rsidR="00756FD7" w:rsidRPr="00756FD7" w14:paraId="6C745256"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CCBA4B1"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1</w:t>
            </w:r>
          </w:p>
        </w:tc>
        <w:tc>
          <w:tcPr>
            <w:tcW w:w="1980" w:type="dxa"/>
            <w:tcBorders>
              <w:top w:val="nil"/>
              <w:left w:val="nil"/>
              <w:bottom w:val="single" w:sz="4" w:space="0" w:color="auto"/>
              <w:right w:val="single" w:sz="4" w:space="0" w:color="auto"/>
            </w:tcBorders>
            <w:shd w:val="clear" w:color="auto" w:fill="auto"/>
            <w:vAlign w:val="center"/>
            <w:hideMark/>
          </w:tcPr>
          <w:p w14:paraId="1B79E9BA"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w:t>
            </w:r>
          </w:p>
        </w:tc>
        <w:tc>
          <w:tcPr>
            <w:tcW w:w="2720" w:type="dxa"/>
            <w:tcBorders>
              <w:top w:val="nil"/>
              <w:left w:val="nil"/>
              <w:bottom w:val="single" w:sz="4" w:space="0" w:color="auto"/>
              <w:right w:val="single" w:sz="4" w:space="0" w:color="auto"/>
            </w:tcBorders>
            <w:shd w:val="clear" w:color="auto" w:fill="auto"/>
            <w:vAlign w:val="center"/>
            <w:hideMark/>
          </w:tcPr>
          <w:p w14:paraId="2F084CBA"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w:t>
            </w:r>
          </w:p>
        </w:tc>
      </w:tr>
      <w:tr w:rsidR="00756FD7" w:rsidRPr="00756FD7" w14:paraId="11CF342F"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587941E"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2</w:t>
            </w:r>
          </w:p>
        </w:tc>
        <w:tc>
          <w:tcPr>
            <w:tcW w:w="1980" w:type="dxa"/>
            <w:tcBorders>
              <w:top w:val="nil"/>
              <w:left w:val="nil"/>
              <w:bottom w:val="single" w:sz="4" w:space="0" w:color="auto"/>
              <w:right w:val="single" w:sz="4" w:space="0" w:color="auto"/>
            </w:tcBorders>
            <w:shd w:val="clear" w:color="auto" w:fill="auto"/>
            <w:vAlign w:val="center"/>
            <w:hideMark/>
          </w:tcPr>
          <w:p w14:paraId="7D4A2BDF"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14:paraId="2181F636"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7</w:t>
            </w:r>
          </w:p>
        </w:tc>
      </w:tr>
      <w:tr w:rsidR="00756FD7" w:rsidRPr="00756FD7" w14:paraId="47FA05E7"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511BC40"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3</w:t>
            </w:r>
          </w:p>
        </w:tc>
        <w:tc>
          <w:tcPr>
            <w:tcW w:w="1980" w:type="dxa"/>
            <w:tcBorders>
              <w:top w:val="nil"/>
              <w:left w:val="nil"/>
              <w:bottom w:val="single" w:sz="4" w:space="0" w:color="auto"/>
              <w:right w:val="single" w:sz="4" w:space="0" w:color="auto"/>
            </w:tcBorders>
            <w:shd w:val="clear" w:color="auto" w:fill="auto"/>
            <w:vAlign w:val="center"/>
            <w:hideMark/>
          </w:tcPr>
          <w:p w14:paraId="246FC08A"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14:paraId="6E3A2713"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7</w:t>
            </w:r>
          </w:p>
        </w:tc>
      </w:tr>
      <w:tr w:rsidR="00756FD7" w:rsidRPr="00756FD7" w14:paraId="365906CD"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DC14E73"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4</w:t>
            </w:r>
          </w:p>
        </w:tc>
        <w:tc>
          <w:tcPr>
            <w:tcW w:w="1980" w:type="dxa"/>
            <w:tcBorders>
              <w:top w:val="nil"/>
              <w:left w:val="nil"/>
              <w:bottom w:val="single" w:sz="4" w:space="0" w:color="auto"/>
              <w:right w:val="single" w:sz="4" w:space="0" w:color="auto"/>
            </w:tcBorders>
            <w:shd w:val="clear" w:color="auto" w:fill="auto"/>
            <w:vAlign w:val="center"/>
            <w:hideMark/>
          </w:tcPr>
          <w:p w14:paraId="5BEB8251"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14:paraId="74F356E2"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7</w:t>
            </w:r>
          </w:p>
        </w:tc>
      </w:tr>
      <w:tr w:rsidR="00756FD7" w:rsidRPr="00756FD7" w14:paraId="6BE65979"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066B321"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5</w:t>
            </w:r>
          </w:p>
        </w:tc>
        <w:tc>
          <w:tcPr>
            <w:tcW w:w="1980" w:type="dxa"/>
            <w:tcBorders>
              <w:top w:val="nil"/>
              <w:left w:val="nil"/>
              <w:bottom w:val="single" w:sz="4" w:space="0" w:color="auto"/>
              <w:right w:val="single" w:sz="4" w:space="0" w:color="auto"/>
            </w:tcBorders>
            <w:shd w:val="clear" w:color="auto" w:fill="auto"/>
            <w:vAlign w:val="center"/>
            <w:hideMark/>
          </w:tcPr>
          <w:p w14:paraId="4EF2A57F"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0</w:t>
            </w:r>
          </w:p>
        </w:tc>
        <w:tc>
          <w:tcPr>
            <w:tcW w:w="2720" w:type="dxa"/>
            <w:tcBorders>
              <w:top w:val="nil"/>
              <w:left w:val="nil"/>
              <w:bottom w:val="single" w:sz="4" w:space="0" w:color="auto"/>
              <w:right w:val="single" w:sz="4" w:space="0" w:color="auto"/>
            </w:tcBorders>
            <w:shd w:val="clear" w:color="auto" w:fill="auto"/>
            <w:vAlign w:val="center"/>
            <w:hideMark/>
          </w:tcPr>
          <w:p w14:paraId="4DC3CEEE"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0</w:t>
            </w:r>
          </w:p>
        </w:tc>
      </w:tr>
      <w:tr w:rsidR="00756FD7" w:rsidRPr="00756FD7" w14:paraId="33390B44" w14:textId="77777777" w:rsidTr="00756FD7">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F036F10"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Total</w:t>
            </w:r>
          </w:p>
        </w:tc>
        <w:tc>
          <w:tcPr>
            <w:tcW w:w="1980" w:type="dxa"/>
            <w:tcBorders>
              <w:top w:val="nil"/>
              <w:left w:val="nil"/>
              <w:bottom w:val="single" w:sz="4" w:space="0" w:color="auto"/>
              <w:right w:val="single" w:sz="4" w:space="0" w:color="auto"/>
            </w:tcBorders>
            <w:shd w:val="clear" w:color="auto" w:fill="auto"/>
            <w:vAlign w:val="center"/>
            <w:hideMark/>
          </w:tcPr>
          <w:p w14:paraId="41C8BF9C"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18</w:t>
            </w:r>
          </w:p>
        </w:tc>
        <w:tc>
          <w:tcPr>
            <w:tcW w:w="2720" w:type="dxa"/>
            <w:tcBorders>
              <w:top w:val="nil"/>
              <w:left w:val="nil"/>
              <w:bottom w:val="single" w:sz="4" w:space="0" w:color="auto"/>
              <w:right w:val="single" w:sz="4" w:space="0" w:color="auto"/>
            </w:tcBorders>
            <w:shd w:val="clear" w:color="auto" w:fill="auto"/>
            <w:vAlign w:val="center"/>
            <w:hideMark/>
          </w:tcPr>
          <w:p w14:paraId="4D6B94D2"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24</w:t>
            </w:r>
          </w:p>
        </w:tc>
      </w:tr>
      <w:tr w:rsidR="00756FD7" w:rsidRPr="00756FD7" w14:paraId="5A8E04D8" w14:textId="77777777" w:rsidTr="00985060">
        <w:trPr>
          <w:trHeight w:val="31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71F46A"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Total as of 3-31-22</w:t>
            </w:r>
          </w:p>
        </w:tc>
        <w:tc>
          <w:tcPr>
            <w:tcW w:w="2720" w:type="dxa"/>
            <w:tcBorders>
              <w:top w:val="nil"/>
              <w:left w:val="nil"/>
              <w:bottom w:val="single" w:sz="4" w:space="0" w:color="auto"/>
              <w:right w:val="single" w:sz="4" w:space="0" w:color="auto"/>
            </w:tcBorders>
            <w:shd w:val="clear" w:color="auto" w:fill="auto"/>
            <w:vAlign w:val="center"/>
            <w:hideMark/>
          </w:tcPr>
          <w:p w14:paraId="64BA4FA3"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10</w:t>
            </w:r>
          </w:p>
        </w:tc>
      </w:tr>
    </w:tbl>
    <w:p w14:paraId="5947F63C" w14:textId="77777777" w:rsidR="00985060" w:rsidRDefault="00985060">
      <w:r>
        <w:br w:type="page"/>
      </w:r>
    </w:p>
    <w:tbl>
      <w:tblPr>
        <w:tblW w:w="6320" w:type="dxa"/>
        <w:tblLook w:val="04A0" w:firstRow="1" w:lastRow="0" w:firstColumn="1" w:lastColumn="0" w:noHBand="0" w:noVBand="1"/>
      </w:tblPr>
      <w:tblGrid>
        <w:gridCol w:w="1620"/>
        <w:gridCol w:w="1980"/>
        <w:gridCol w:w="2720"/>
      </w:tblGrid>
      <w:tr w:rsidR="00756FD7" w:rsidRPr="00756FD7" w14:paraId="7F287378" w14:textId="77777777" w:rsidTr="00985060">
        <w:trPr>
          <w:trHeight w:val="1120"/>
        </w:trPr>
        <w:tc>
          <w:tcPr>
            <w:tcW w:w="632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8A50E75" w14:textId="77777777" w:rsidR="00756FD7" w:rsidRPr="00756FD7" w:rsidRDefault="00756FD7" w:rsidP="00756FD7">
            <w:pPr>
              <w:spacing w:after="0" w:line="240" w:lineRule="auto"/>
              <w:rPr>
                <w:rFonts w:eastAsia="Times New Roman"/>
                <w:b/>
                <w:bCs/>
                <w:color w:val="000000"/>
              </w:rPr>
            </w:pPr>
            <w:r w:rsidRPr="00756FD7">
              <w:rPr>
                <w:rFonts w:eastAsia="Times New Roman"/>
                <w:b/>
                <w:bCs/>
                <w:color w:val="000000"/>
                <w:u w:val="single"/>
              </w:rPr>
              <w:lastRenderedPageBreak/>
              <w:t>Project Measure 4</w:t>
            </w:r>
            <w:r w:rsidRPr="00756FD7">
              <w:rPr>
                <w:rFonts w:eastAsia="Times New Roman"/>
                <w:b/>
                <w:bCs/>
                <w:color w:val="000000"/>
              </w:rPr>
              <w:t>: Number of courses taken by SVRA towards the VR Grants Management Certificate program through Management Concepts</w:t>
            </w:r>
          </w:p>
        </w:tc>
      </w:tr>
      <w:tr w:rsidR="00756FD7" w:rsidRPr="00756FD7" w14:paraId="6F39B172"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DE2C20C"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Project Year</w:t>
            </w:r>
          </w:p>
        </w:tc>
        <w:tc>
          <w:tcPr>
            <w:tcW w:w="1980" w:type="dxa"/>
            <w:tcBorders>
              <w:top w:val="nil"/>
              <w:left w:val="nil"/>
              <w:bottom w:val="single" w:sz="4" w:space="0" w:color="auto"/>
              <w:right w:val="single" w:sz="4" w:space="0" w:color="auto"/>
            </w:tcBorders>
            <w:shd w:val="clear" w:color="auto" w:fill="auto"/>
            <w:vAlign w:val="center"/>
            <w:hideMark/>
          </w:tcPr>
          <w:p w14:paraId="0F3B1F27"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Original Target</w:t>
            </w:r>
          </w:p>
        </w:tc>
        <w:tc>
          <w:tcPr>
            <w:tcW w:w="2720" w:type="dxa"/>
            <w:tcBorders>
              <w:top w:val="nil"/>
              <w:left w:val="nil"/>
              <w:bottom w:val="single" w:sz="4" w:space="0" w:color="auto"/>
              <w:right w:val="single" w:sz="4" w:space="0" w:color="auto"/>
            </w:tcBorders>
            <w:shd w:val="clear" w:color="auto" w:fill="auto"/>
            <w:vAlign w:val="center"/>
            <w:hideMark/>
          </w:tcPr>
          <w:p w14:paraId="6A26D802"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Target with Supplement</w:t>
            </w:r>
          </w:p>
        </w:tc>
      </w:tr>
      <w:tr w:rsidR="00756FD7" w:rsidRPr="00756FD7" w14:paraId="32ABEED9"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35951C3"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1</w:t>
            </w:r>
          </w:p>
        </w:tc>
        <w:tc>
          <w:tcPr>
            <w:tcW w:w="1980" w:type="dxa"/>
            <w:tcBorders>
              <w:top w:val="nil"/>
              <w:left w:val="nil"/>
              <w:bottom w:val="single" w:sz="4" w:space="0" w:color="auto"/>
              <w:right w:val="single" w:sz="4" w:space="0" w:color="auto"/>
            </w:tcBorders>
            <w:shd w:val="clear" w:color="auto" w:fill="auto"/>
            <w:vAlign w:val="center"/>
            <w:hideMark/>
          </w:tcPr>
          <w:p w14:paraId="64A25651"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0</w:t>
            </w:r>
          </w:p>
        </w:tc>
        <w:tc>
          <w:tcPr>
            <w:tcW w:w="2720" w:type="dxa"/>
            <w:tcBorders>
              <w:top w:val="nil"/>
              <w:left w:val="nil"/>
              <w:bottom w:val="single" w:sz="4" w:space="0" w:color="auto"/>
              <w:right w:val="single" w:sz="4" w:space="0" w:color="auto"/>
            </w:tcBorders>
            <w:shd w:val="clear" w:color="auto" w:fill="auto"/>
            <w:vAlign w:val="center"/>
            <w:hideMark/>
          </w:tcPr>
          <w:p w14:paraId="42D64F45"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0</w:t>
            </w:r>
          </w:p>
        </w:tc>
      </w:tr>
      <w:tr w:rsidR="00756FD7" w:rsidRPr="00756FD7" w14:paraId="20168B21"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F6BA13"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2</w:t>
            </w:r>
          </w:p>
        </w:tc>
        <w:tc>
          <w:tcPr>
            <w:tcW w:w="1980" w:type="dxa"/>
            <w:tcBorders>
              <w:top w:val="nil"/>
              <w:left w:val="nil"/>
              <w:bottom w:val="single" w:sz="4" w:space="0" w:color="auto"/>
              <w:right w:val="single" w:sz="4" w:space="0" w:color="auto"/>
            </w:tcBorders>
            <w:shd w:val="clear" w:color="auto" w:fill="auto"/>
            <w:vAlign w:val="center"/>
            <w:hideMark/>
          </w:tcPr>
          <w:p w14:paraId="7C4D2A10"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270</w:t>
            </w:r>
          </w:p>
        </w:tc>
        <w:tc>
          <w:tcPr>
            <w:tcW w:w="2720" w:type="dxa"/>
            <w:tcBorders>
              <w:top w:val="nil"/>
              <w:left w:val="nil"/>
              <w:bottom w:val="single" w:sz="4" w:space="0" w:color="auto"/>
              <w:right w:val="single" w:sz="4" w:space="0" w:color="auto"/>
            </w:tcBorders>
            <w:shd w:val="clear" w:color="auto" w:fill="auto"/>
            <w:vAlign w:val="center"/>
            <w:hideMark/>
          </w:tcPr>
          <w:p w14:paraId="3753ACBC"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270</w:t>
            </w:r>
          </w:p>
        </w:tc>
      </w:tr>
      <w:tr w:rsidR="00756FD7" w:rsidRPr="00756FD7" w14:paraId="1A55968E"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BE43ADF"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3</w:t>
            </w:r>
          </w:p>
        </w:tc>
        <w:tc>
          <w:tcPr>
            <w:tcW w:w="1980" w:type="dxa"/>
            <w:tcBorders>
              <w:top w:val="nil"/>
              <w:left w:val="nil"/>
              <w:bottom w:val="single" w:sz="4" w:space="0" w:color="auto"/>
              <w:right w:val="single" w:sz="4" w:space="0" w:color="auto"/>
            </w:tcBorders>
            <w:shd w:val="clear" w:color="auto" w:fill="auto"/>
            <w:vAlign w:val="center"/>
            <w:hideMark/>
          </w:tcPr>
          <w:p w14:paraId="1DB3343C"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340</w:t>
            </w:r>
          </w:p>
        </w:tc>
        <w:tc>
          <w:tcPr>
            <w:tcW w:w="2720" w:type="dxa"/>
            <w:tcBorders>
              <w:top w:val="nil"/>
              <w:left w:val="nil"/>
              <w:bottom w:val="single" w:sz="4" w:space="0" w:color="auto"/>
              <w:right w:val="single" w:sz="4" w:space="0" w:color="auto"/>
            </w:tcBorders>
            <w:shd w:val="clear" w:color="auto" w:fill="auto"/>
            <w:vAlign w:val="center"/>
            <w:hideMark/>
          </w:tcPr>
          <w:p w14:paraId="7EE7B69D"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340</w:t>
            </w:r>
          </w:p>
        </w:tc>
      </w:tr>
      <w:tr w:rsidR="00756FD7" w:rsidRPr="00756FD7" w14:paraId="04032C62"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07D8041"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4</w:t>
            </w:r>
          </w:p>
        </w:tc>
        <w:tc>
          <w:tcPr>
            <w:tcW w:w="1980" w:type="dxa"/>
            <w:tcBorders>
              <w:top w:val="nil"/>
              <w:left w:val="nil"/>
              <w:bottom w:val="single" w:sz="4" w:space="0" w:color="auto"/>
              <w:right w:val="single" w:sz="4" w:space="0" w:color="auto"/>
            </w:tcBorders>
            <w:shd w:val="clear" w:color="auto" w:fill="auto"/>
            <w:vAlign w:val="center"/>
            <w:hideMark/>
          </w:tcPr>
          <w:p w14:paraId="49AE2012"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360</w:t>
            </w:r>
          </w:p>
        </w:tc>
        <w:tc>
          <w:tcPr>
            <w:tcW w:w="2720" w:type="dxa"/>
            <w:tcBorders>
              <w:top w:val="nil"/>
              <w:left w:val="nil"/>
              <w:bottom w:val="single" w:sz="4" w:space="0" w:color="auto"/>
              <w:right w:val="single" w:sz="4" w:space="0" w:color="auto"/>
            </w:tcBorders>
            <w:shd w:val="clear" w:color="auto" w:fill="auto"/>
            <w:vAlign w:val="center"/>
            <w:hideMark/>
          </w:tcPr>
          <w:p w14:paraId="38111FF1"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360</w:t>
            </w:r>
          </w:p>
        </w:tc>
      </w:tr>
      <w:tr w:rsidR="00756FD7" w:rsidRPr="00756FD7" w14:paraId="3A77E456"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CA5830" w14:textId="77777777" w:rsidR="00756FD7" w:rsidRPr="00756FD7" w:rsidRDefault="00756FD7" w:rsidP="00756FD7">
            <w:pPr>
              <w:spacing w:after="0" w:line="240" w:lineRule="auto"/>
              <w:jc w:val="center"/>
              <w:rPr>
                <w:rFonts w:eastAsia="Times New Roman"/>
                <w:color w:val="000000"/>
              </w:rPr>
            </w:pPr>
            <w:r w:rsidRPr="00756FD7">
              <w:rPr>
                <w:rFonts w:eastAsia="Times New Roman"/>
                <w:color w:val="000000"/>
              </w:rPr>
              <w:t>5</w:t>
            </w:r>
          </w:p>
        </w:tc>
        <w:tc>
          <w:tcPr>
            <w:tcW w:w="1980" w:type="dxa"/>
            <w:tcBorders>
              <w:top w:val="nil"/>
              <w:left w:val="nil"/>
              <w:bottom w:val="single" w:sz="4" w:space="0" w:color="auto"/>
              <w:right w:val="single" w:sz="4" w:space="0" w:color="auto"/>
            </w:tcBorders>
            <w:shd w:val="clear" w:color="auto" w:fill="auto"/>
            <w:vAlign w:val="center"/>
            <w:hideMark/>
          </w:tcPr>
          <w:p w14:paraId="55A5DFD6"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380</w:t>
            </w:r>
          </w:p>
        </w:tc>
        <w:tc>
          <w:tcPr>
            <w:tcW w:w="2720" w:type="dxa"/>
            <w:tcBorders>
              <w:top w:val="nil"/>
              <w:left w:val="nil"/>
              <w:bottom w:val="single" w:sz="4" w:space="0" w:color="auto"/>
              <w:right w:val="single" w:sz="4" w:space="0" w:color="auto"/>
            </w:tcBorders>
            <w:shd w:val="clear" w:color="auto" w:fill="auto"/>
            <w:vAlign w:val="center"/>
            <w:hideMark/>
          </w:tcPr>
          <w:p w14:paraId="5788E9A3"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380</w:t>
            </w:r>
          </w:p>
        </w:tc>
      </w:tr>
      <w:tr w:rsidR="00756FD7" w:rsidRPr="00756FD7" w14:paraId="4A3F011F"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47F9415" w14:textId="77777777" w:rsidR="00756FD7" w:rsidRPr="00756FD7" w:rsidRDefault="00756FD7" w:rsidP="00756FD7">
            <w:pPr>
              <w:spacing w:after="0" w:line="240" w:lineRule="auto"/>
              <w:jc w:val="center"/>
              <w:rPr>
                <w:rFonts w:eastAsia="Times New Roman"/>
                <w:b/>
                <w:bCs/>
                <w:color w:val="000000"/>
              </w:rPr>
            </w:pPr>
            <w:r w:rsidRPr="00756FD7">
              <w:rPr>
                <w:rFonts w:eastAsia="Times New Roman"/>
                <w:b/>
                <w:bCs/>
                <w:color w:val="000000"/>
              </w:rPr>
              <w:t>Total</w:t>
            </w:r>
          </w:p>
        </w:tc>
        <w:tc>
          <w:tcPr>
            <w:tcW w:w="1980" w:type="dxa"/>
            <w:tcBorders>
              <w:top w:val="nil"/>
              <w:left w:val="nil"/>
              <w:bottom w:val="single" w:sz="4" w:space="0" w:color="auto"/>
              <w:right w:val="single" w:sz="4" w:space="0" w:color="auto"/>
            </w:tcBorders>
            <w:shd w:val="clear" w:color="auto" w:fill="auto"/>
            <w:vAlign w:val="center"/>
            <w:hideMark/>
          </w:tcPr>
          <w:p w14:paraId="4D609F21"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1350</w:t>
            </w:r>
          </w:p>
        </w:tc>
        <w:tc>
          <w:tcPr>
            <w:tcW w:w="2720" w:type="dxa"/>
            <w:tcBorders>
              <w:top w:val="nil"/>
              <w:left w:val="nil"/>
              <w:bottom w:val="single" w:sz="4" w:space="0" w:color="auto"/>
              <w:right w:val="single" w:sz="4" w:space="0" w:color="auto"/>
            </w:tcBorders>
            <w:shd w:val="clear" w:color="auto" w:fill="auto"/>
            <w:vAlign w:val="center"/>
            <w:hideMark/>
          </w:tcPr>
          <w:p w14:paraId="0EC582FE" w14:textId="77777777" w:rsidR="00756FD7" w:rsidRPr="00756FD7" w:rsidRDefault="00756FD7" w:rsidP="00756FD7">
            <w:pPr>
              <w:spacing w:after="0" w:line="240" w:lineRule="auto"/>
              <w:jc w:val="right"/>
              <w:rPr>
                <w:rFonts w:eastAsia="Times New Roman"/>
                <w:color w:val="000000"/>
              </w:rPr>
            </w:pPr>
            <w:r w:rsidRPr="00756FD7">
              <w:rPr>
                <w:rFonts w:eastAsia="Times New Roman"/>
                <w:color w:val="000000"/>
              </w:rPr>
              <w:t>1350</w:t>
            </w:r>
          </w:p>
        </w:tc>
      </w:tr>
      <w:tr w:rsidR="00756FD7" w:rsidRPr="00756FD7" w14:paraId="395049A0" w14:textId="77777777" w:rsidTr="00985060">
        <w:trPr>
          <w:trHeight w:val="31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ADA9A"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Total as of 3-31-22</w:t>
            </w:r>
          </w:p>
        </w:tc>
        <w:tc>
          <w:tcPr>
            <w:tcW w:w="2720" w:type="dxa"/>
            <w:tcBorders>
              <w:top w:val="nil"/>
              <w:left w:val="nil"/>
              <w:bottom w:val="single" w:sz="4" w:space="0" w:color="auto"/>
              <w:right w:val="single" w:sz="4" w:space="0" w:color="auto"/>
            </w:tcBorders>
            <w:shd w:val="clear" w:color="auto" w:fill="auto"/>
            <w:vAlign w:val="center"/>
            <w:hideMark/>
          </w:tcPr>
          <w:p w14:paraId="174125B5" w14:textId="77777777" w:rsidR="00756FD7" w:rsidRPr="00756FD7" w:rsidRDefault="00756FD7" w:rsidP="00756FD7">
            <w:pPr>
              <w:spacing w:after="0" w:line="240" w:lineRule="auto"/>
              <w:jc w:val="right"/>
              <w:rPr>
                <w:rFonts w:eastAsia="Times New Roman"/>
                <w:b/>
                <w:bCs/>
                <w:color w:val="000000"/>
              </w:rPr>
            </w:pPr>
            <w:r w:rsidRPr="00756FD7">
              <w:rPr>
                <w:rFonts w:eastAsia="Times New Roman"/>
                <w:b/>
                <w:bCs/>
                <w:color w:val="000000"/>
              </w:rPr>
              <w:t>0</w:t>
            </w:r>
          </w:p>
        </w:tc>
      </w:tr>
    </w:tbl>
    <w:p w14:paraId="21F6F296" w14:textId="38BE5063" w:rsidR="00756FD7" w:rsidRDefault="00756FD7" w:rsidP="00756FD7">
      <w:pPr>
        <w:pStyle w:val="Style1"/>
      </w:pPr>
    </w:p>
    <w:tbl>
      <w:tblPr>
        <w:tblW w:w="6320" w:type="dxa"/>
        <w:tblLook w:val="04A0" w:firstRow="1" w:lastRow="0" w:firstColumn="1" w:lastColumn="0" w:noHBand="0" w:noVBand="1"/>
      </w:tblPr>
      <w:tblGrid>
        <w:gridCol w:w="1620"/>
        <w:gridCol w:w="1980"/>
        <w:gridCol w:w="2720"/>
      </w:tblGrid>
      <w:tr w:rsidR="00985060" w:rsidRPr="00985060" w14:paraId="55CF0B59" w14:textId="77777777" w:rsidTr="00985060">
        <w:trPr>
          <w:trHeight w:val="1070"/>
        </w:trPr>
        <w:tc>
          <w:tcPr>
            <w:tcW w:w="632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78D9C7B3" w14:textId="77777777" w:rsidR="00985060" w:rsidRPr="00985060" w:rsidRDefault="00985060" w:rsidP="00985060">
            <w:pPr>
              <w:spacing w:after="0" w:line="240" w:lineRule="auto"/>
              <w:rPr>
                <w:rFonts w:eastAsia="Times New Roman"/>
                <w:b/>
                <w:bCs/>
                <w:color w:val="000000"/>
              </w:rPr>
            </w:pPr>
            <w:r w:rsidRPr="00985060">
              <w:rPr>
                <w:rFonts w:eastAsia="Times New Roman"/>
                <w:b/>
                <w:bCs/>
                <w:color w:val="000000"/>
                <w:u w:val="single"/>
              </w:rPr>
              <w:t>Project Measure 5</w:t>
            </w:r>
            <w:r w:rsidRPr="00985060">
              <w:rPr>
                <w:rFonts w:eastAsia="Times New Roman"/>
                <w:b/>
                <w:bCs/>
                <w:color w:val="000000"/>
              </w:rPr>
              <w:t>: Number of targeted training and TA events on QM provided and the numbers of participants during the project year</w:t>
            </w:r>
          </w:p>
        </w:tc>
      </w:tr>
      <w:tr w:rsidR="00985060" w:rsidRPr="00985060" w14:paraId="6D6E2015" w14:textId="77777777" w:rsidTr="00985060">
        <w:trPr>
          <w:trHeight w:val="9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2F32FC6" w14:textId="77777777" w:rsidR="00985060" w:rsidRPr="00985060" w:rsidRDefault="00985060" w:rsidP="00985060">
            <w:pPr>
              <w:spacing w:after="0" w:line="240" w:lineRule="auto"/>
              <w:jc w:val="center"/>
              <w:rPr>
                <w:rFonts w:eastAsia="Times New Roman"/>
                <w:b/>
                <w:bCs/>
                <w:color w:val="000000"/>
              </w:rPr>
            </w:pPr>
            <w:r w:rsidRPr="00985060">
              <w:rPr>
                <w:rFonts w:eastAsia="Times New Roman"/>
                <w:b/>
                <w:bCs/>
                <w:color w:val="000000"/>
              </w:rPr>
              <w:t>Project Year</w:t>
            </w:r>
          </w:p>
        </w:tc>
        <w:tc>
          <w:tcPr>
            <w:tcW w:w="1980" w:type="dxa"/>
            <w:tcBorders>
              <w:top w:val="nil"/>
              <w:left w:val="nil"/>
              <w:bottom w:val="single" w:sz="4" w:space="0" w:color="auto"/>
              <w:right w:val="single" w:sz="4" w:space="0" w:color="auto"/>
            </w:tcBorders>
            <w:shd w:val="clear" w:color="auto" w:fill="auto"/>
            <w:vAlign w:val="center"/>
            <w:hideMark/>
          </w:tcPr>
          <w:p w14:paraId="467C7B9F" w14:textId="77777777" w:rsidR="00985060" w:rsidRPr="00985060" w:rsidRDefault="00985060" w:rsidP="00985060">
            <w:pPr>
              <w:spacing w:after="0" w:line="240" w:lineRule="auto"/>
              <w:jc w:val="center"/>
              <w:rPr>
                <w:rFonts w:eastAsia="Times New Roman"/>
                <w:b/>
                <w:bCs/>
                <w:color w:val="000000"/>
              </w:rPr>
            </w:pPr>
            <w:r w:rsidRPr="00985060">
              <w:rPr>
                <w:rFonts w:eastAsia="Times New Roman"/>
                <w:b/>
                <w:bCs/>
                <w:color w:val="000000"/>
              </w:rPr>
              <w:t>Original Target Number of Participants</w:t>
            </w:r>
          </w:p>
        </w:tc>
        <w:tc>
          <w:tcPr>
            <w:tcW w:w="2720" w:type="dxa"/>
            <w:tcBorders>
              <w:top w:val="nil"/>
              <w:left w:val="nil"/>
              <w:bottom w:val="single" w:sz="4" w:space="0" w:color="auto"/>
              <w:right w:val="single" w:sz="4" w:space="0" w:color="auto"/>
            </w:tcBorders>
            <w:shd w:val="clear" w:color="auto" w:fill="auto"/>
            <w:vAlign w:val="center"/>
            <w:hideMark/>
          </w:tcPr>
          <w:p w14:paraId="309F618D" w14:textId="77777777" w:rsidR="00985060" w:rsidRPr="00985060" w:rsidRDefault="00985060" w:rsidP="00985060">
            <w:pPr>
              <w:spacing w:after="0" w:line="240" w:lineRule="auto"/>
              <w:jc w:val="center"/>
              <w:rPr>
                <w:rFonts w:eastAsia="Times New Roman"/>
                <w:b/>
                <w:bCs/>
                <w:color w:val="000000"/>
              </w:rPr>
            </w:pPr>
            <w:r w:rsidRPr="00985060">
              <w:rPr>
                <w:rFonts w:eastAsia="Times New Roman"/>
                <w:b/>
                <w:bCs/>
                <w:color w:val="000000"/>
              </w:rPr>
              <w:t>Target Number of Participants with Supplement</w:t>
            </w:r>
          </w:p>
        </w:tc>
      </w:tr>
      <w:tr w:rsidR="00985060" w:rsidRPr="00985060" w14:paraId="6D5E219C"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4D1B8DF" w14:textId="77777777" w:rsidR="00985060" w:rsidRPr="00985060" w:rsidRDefault="00985060" w:rsidP="00985060">
            <w:pPr>
              <w:spacing w:after="0" w:line="240" w:lineRule="auto"/>
              <w:jc w:val="center"/>
              <w:rPr>
                <w:rFonts w:eastAsia="Times New Roman"/>
                <w:color w:val="000000"/>
              </w:rPr>
            </w:pPr>
            <w:r w:rsidRPr="00985060">
              <w:rPr>
                <w:rFonts w:eastAsia="Times New Roman"/>
                <w:color w:val="000000"/>
              </w:rPr>
              <w:t>1</w:t>
            </w:r>
          </w:p>
        </w:tc>
        <w:tc>
          <w:tcPr>
            <w:tcW w:w="1980" w:type="dxa"/>
            <w:tcBorders>
              <w:top w:val="nil"/>
              <w:left w:val="nil"/>
              <w:bottom w:val="single" w:sz="4" w:space="0" w:color="auto"/>
              <w:right w:val="single" w:sz="4" w:space="0" w:color="auto"/>
            </w:tcBorders>
            <w:shd w:val="clear" w:color="auto" w:fill="auto"/>
            <w:vAlign w:val="center"/>
            <w:hideMark/>
          </w:tcPr>
          <w:p w14:paraId="6CAE0492"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100</w:t>
            </w:r>
          </w:p>
        </w:tc>
        <w:tc>
          <w:tcPr>
            <w:tcW w:w="2720" w:type="dxa"/>
            <w:tcBorders>
              <w:top w:val="nil"/>
              <w:left w:val="nil"/>
              <w:bottom w:val="single" w:sz="4" w:space="0" w:color="auto"/>
              <w:right w:val="single" w:sz="4" w:space="0" w:color="auto"/>
            </w:tcBorders>
            <w:shd w:val="clear" w:color="auto" w:fill="auto"/>
            <w:vAlign w:val="center"/>
            <w:hideMark/>
          </w:tcPr>
          <w:p w14:paraId="6AF252C4"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100</w:t>
            </w:r>
          </w:p>
        </w:tc>
      </w:tr>
      <w:tr w:rsidR="00985060" w:rsidRPr="00985060" w14:paraId="2E183053"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F3C59FA" w14:textId="77777777" w:rsidR="00985060" w:rsidRPr="00985060" w:rsidRDefault="00985060" w:rsidP="00985060">
            <w:pPr>
              <w:spacing w:after="0" w:line="240" w:lineRule="auto"/>
              <w:jc w:val="center"/>
              <w:rPr>
                <w:rFonts w:eastAsia="Times New Roman"/>
                <w:color w:val="000000"/>
              </w:rPr>
            </w:pPr>
            <w:r w:rsidRPr="00985060">
              <w:rPr>
                <w:rFonts w:eastAsia="Times New Roman"/>
                <w:color w:val="000000"/>
              </w:rPr>
              <w:t>2</w:t>
            </w:r>
          </w:p>
        </w:tc>
        <w:tc>
          <w:tcPr>
            <w:tcW w:w="1980" w:type="dxa"/>
            <w:tcBorders>
              <w:top w:val="nil"/>
              <w:left w:val="nil"/>
              <w:bottom w:val="single" w:sz="4" w:space="0" w:color="auto"/>
              <w:right w:val="single" w:sz="4" w:space="0" w:color="auto"/>
            </w:tcBorders>
            <w:shd w:val="clear" w:color="auto" w:fill="auto"/>
            <w:vAlign w:val="center"/>
            <w:hideMark/>
          </w:tcPr>
          <w:p w14:paraId="5954B2D8"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125</w:t>
            </w:r>
          </w:p>
        </w:tc>
        <w:tc>
          <w:tcPr>
            <w:tcW w:w="2720" w:type="dxa"/>
            <w:tcBorders>
              <w:top w:val="nil"/>
              <w:left w:val="nil"/>
              <w:bottom w:val="single" w:sz="4" w:space="0" w:color="auto"/>
              <w:right w:val="single" w:sz="4" w:space="0" w:color="auto"/>
            </w:tcBorders>
            <w:shd w:val="clear" w:color="auto" w:fill="auto"/>
            <w:vAlign w:val="center"/>
            <w:hideMark/>
          </w:tcPr>
          <w:p w14:paraId="215DFF4F"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250</w:t>
            </w:r>
          </w:p>
        </w:tc>
      </w:tr>
      <w:tr w:rsidR="00985060" w:rsidRPr="00985060" w14:paraId="06C480CF"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102A396" w14:textId="77777777" w:rsidR="00985060" w:rsidRPr="00985060" w:rsidRDefault="00985060" w:rsidP="00985060">
            <w:pPr>
              <w:spacing w:after="0" w:line="240" w:lineRule="auto"/>
              <w:jc w:val="center"/>
              <w:rPr>
                <w:rFonts w:eastAsia="Times New Roman"/>
                <w:color w:val="000000"/>
              </w:rPr>
            </w:pPr>
            <w:r w:rsidRPr="00985060">
              <w:rPr>
                <w:rFonts w:eastAsia="Times New Roman"/>
                <w:color w:val="000000"/>
              </w:rPr>
              <w:t>3</w:t>
            </w:r>
          </w:p>
        </w:tc>
        <w:tc>
          <w:tcPr>
            <w:tcW w:w="1980" w:type="dxa"/>
            <w:tcBorders>
              <w:top w:val="nil"/>
              <w:left w:val="nil"/>
              <w:bottom w:val="single" w:sz="4" w:space="0" w:color="auto"/>
              <w:right w:val="single" w:sz="4" w:space="0" w:color="auto"/>
            </w:tcBorders>
            <w:shd w:val="clear" w:color="auto" w:fill="auto"/>
            <w:vAlign w:val="center"/>
            <w:hideMark/>
          </w:tcPr>
          <w:p w14:paraId="0D4A9D9E"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125</w:t>
            </w:r>
          </w:p>
        </w:tc>
        <w:tc>
          <w:tcPr>
            <w:tcW w:w="2720" w:type="dxa"/>
            <w:tcBorders>
              <w:top w:val="nil"/>
              <w:left w:val="nil"/>
              <w:bottom w:val="single" w:sz="4" w:space="0" w:color="auto"/>
              <w:right w:val="single" w:sz="4" w:space="0" w:color="auto"/>
            </w:tcBorders>
            <w:shd w:val="clear" w:color="auto" w:fill="auto"/>
            <w:vAlign w:val="center"/>
            <w:hideMark/>
          </w:tcPr>
          <w:p w14:paraId="028D6E13"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250</w:t>
            </w:r>
          </w:p>
        </w:tc>
      </w:tr>
      <w:tr w:rsidR="00985060" w:rsidRPr="00985060" w14:paraId="714D3762"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B8E37A1" w14:textId="77777777" w:rsidR="00985060" w:rsidRPr="00985060" w:rsidRDefault="00985060" w:rsidP="00985060">
            <w:pPr>
              <w:spacing w:after="0" w:line="240" w:lineRule="auto"/>
              <w:jc w:val="center"/>
              <w:rPr>
                <w:rFonts w:eastAsia="Times New Roman"/>
                <w:color w:val="000000"/>
              </w:rPr>
            </w:pPr>
            <w:r w:rsidRPr="00985060">
              <w:rPr>
                <w:rFonts w:eastAsia="Times New Roman"/>
                <w:color w:val="000000"/>
              </w:rPr>
              <w:t>4</w:t>
            </w:r>
          </w:p>
        </w:tc>
        <w:tc>
          <w:tcPr>
            <w:tcW w:w="1980" w:type="dxa"/>
            <w:tcBorders>
              <w:top w:val="nil"/>
              <w:left w:val="nil"/>
              <w:bottom w:val="single" w:sz="4" w:space="0" w:color="auto"/>
              <w:right w:val="single" w:sz="4" w:space="0" w:color="auto"/>
            </w:tcBorders>
            <w:shd w:val="clear" w:color="auto" w:fill="auto"/>
            <w:vAlign w:val="center"/>
            <w:hideMark/>
          </w:tcPr>
          <w:p w14:paraId="59F8EF53"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140</w:t>
            </w:r>
          </w:p>
        </w:tc>
        <w:tc>
          <w:tcPr>
            <w:tcW w:w="2720" w:type="dxa"/>
            <w:tcBorders>
              <w:top w:val="nil"/>
              <w:left w:val="nil"/>
              <w:bottom w:val="single" w:sz="4" w:space="0" w:color="auto"/>
              <w:right w:val="single" w:sz="4" w:space="0" w:color="auto"/>
            </w:tcBorders>
            <w:shd w:val="clear" w:color="auto" w:fill="auto"/>
            <w:vAlign w:val="center"/>
            <w:hideMark/>
          </w:tcPr>
          <w:p w14:paraId="3E021786"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300</w:t>
            </w:r>
          </w:p>
        </w:tc>
      </w:tr>
      <w:tr w:rsidR="00985060" w:rsidRPr="00985060" w14:paraId="60163FFB"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A52A449" w14:textId="77777777" w:rsidR="00985060" w:rsidRPr="00985060" w:rsidRDefault="00985060" w:rsidP="00985060">
            <w:pPr>
              <w:spacing w:after="0" w:line="240" w:lineRule="auto"/>
              <w:jc w:val="center"/>
              <w:rPr>
                <w:rFonts w:eastAsia="Times New Roman"/>
                <w:color w:val="000000"/>
              </w:rPr>
            </w:pPr>
            <w:r w:rsidRPr="00985060">
              <w:rPr>
                <w:rFonts w:eastAsia="Times New Roman"/>
                <w:color w:val="000000"/>
              </w:rPr>
              <w:t>5</w:t>
            </w:r>
          </w:p>
        </w:tc>
        <w:tc>
          <w:tcPr>
            <w:tcW w:w="1980" w:type="dxa"/>
            <w:tcBorders>
              <w:top w:val="nil"/>
              <w:left w:val="nil"/>
              <w:bottom w:val="single" w:sz="4" w:space="0" w:color="auto"/>
              <w:right w:val="single" w:sz="4" w:space="0" w:color="auto"/>
            </w:tcBorders>
            <w:shd w:val="clear" w:color="auto" w:fill="auto"/>
            <w:vAlign w:val="center"/>
            <w:hideMark/>
          </w:tcPr>
          <w:p w14:paraId="0F755DC3"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100</w:t>
            </w:r>
          </w:p>
        </w:tc>
        <w:tc>
          <w:tcPr>
            <w:tcW w:w="2720" w:type="dxa"/>
            <w:tcBorders>
              <w:top w:val="nil"/>
              <w:left w:val="nil"/>
              <w:bottom w:val="single" w:sz="4" w:space="0" w:color="auto"/>
              <w:right w:val="single" w:sz="4" w:space="0" w:color="auto"/>
            </w:tcBorders>
            <w:shd w:val="clear" w:color="auto" w:fill="auto"/>
            <w:vAlign w:val="center"/>
            <w:hideMark/>
          </w:tcPr>
          <w:p w14:paraId="249AC221"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200</w:t>
            </w:r>
          </w:p>
        </w:tc>
      </w:tr>
      <w:tr w:rsidR="00985060" w:rsidRPr="00985060" w14:paraId="0819FDFF" w14:textId="77777777" w:rsidTr="00985060">
        <w:trPr>
          <w:trHeight w:val="31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0A171C6" w14:textId="77777777" w:rsidR="00985060" w:rsidRPr="00985060" w:rsidRDefault="00985060" w:rsidP="00985060">
            <w:pPr>
              <w:spacing w:after="0" w:line="240" w:lineRule="auto"/>
              <w:jc w:val="center"/>
              <w:rPr>
                <w:rFonts w:eastAsia="Times New Roman"/>
                <w:b/>
                <w:bCs/>
                <w:color w:val="000000"/>
              </w:rPr>
            </w:pPr>
            <w:r w:rsidRPr="00985060">
              <w:rPr>
                <w:rFonts w:eastAsia="Times New Roman"/>
                <w:b/>
                <w:bCs/>
                <w:color w:val="000000"/>
              </w:rPr>
              <w:t>Total</w:t>
            </w:r>
          </w:p>
        </w:tc>
        <w:tc>
          <w:tcPr>
            <w:tcW w:w="1980" w:type="dxa"/>
            <w:tcBorders>
              <w:top w:val="nil"/>
              <w:left w:val="nil"/>
              <w:bottom w:val="single" w:sz="4" w:space="0" w:color="auto"/>
              <w:right w:val="single" w:sz="4" w:space="0" w:color="auto"/>
            </w:tcBorders>
            <w:shd w:val="clear" w:color="auto" w:fill="auto"/>
            <w:vAlign w:val="center"/>
            <w:hideMark/>
          </w:tcPr>
          <w:p w14:paraId="5C96A0DB"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590</w:t>
            </w:r>
          </w:p>
        </w:tc>
        <w:tc>
          <w:tcPr>
            <w:tcW w:w="2720" w:type="dxa"/>
            <w:tcBorders>
              <w:top w:val="nil"/>
              <w:left w:val="nil"/>
              <w:bottom w:val="single" w:sz="4" w:space="0" w:color="auto"/>
              <w:right w:val="single" w:sz="4" w:space="0" w:color="auto"/>
            </w:tcBorders>
            <w:shd w:val="clear" w:color="auto" w:fill="auto"/>
            <w:vAlign w:val="center"/>
            <w:hideMark/>
          </w:tcPr>
          <w:p w14:paraId="19A5C8ED" w14:textId="77777777" w:rsidR="00985060" w:rsidRPr="00985060" w:rsidRDefault="00985060" w:rsidP="00985060">
            <w:pPr>
              <w:spacing w:after="0" w:line="240" w:lineRule="auto"/>
              <w:jc w:val="right"/>
              <w:rPr>
                <w:rFonts w:eastAsia="Times New Roman"/>
                <w:color w:val="000000"/>
              </w:rPr>
            </w:pPr>
            <w:r w:rsidRPr="00985060">
              <w:rPr>
                <w:rFonts w:eastAsia="Times New Roman"/>
                <w:color w:val="000000"/>
              </w:rPr>
              <w:t>1100</w:t>
            </w:r>
          </w:p>
        </w:tc>
      </w:tr>
      <w:tr w:rsidR="00985060" w:rsidRPr="00985060" w14:paraId="1A89A3CC" w14:textId="77777777" w:rsidTr="00985060">
        <w:trPr>
          <w:trHeight w:val="310"/>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31E791" w14:textId="77777777" w:rsidR="00985060" w:rsidRPr="00985060" w:rsidRDefault="00985060" w:rsidP="00985060">
            <w:pPr>
              <w:spacing w:after="0" w:line="240" w:lineRule="auto"/>
              <w:jc w:val="right"/>
              <w:rPr>
                <w:rFonts w:eastAsia="Times New Roman"/>
                <w:b/>
                <w:bCs/>
                <w:color w:val="000000"/>
              </w:rPr>
            </w:pPr>
            <w:r w:rsidRPr="00985060">
              <w:rPr>
                <w:rFonts w:eastAsia="Times New Roman"/>
                <w:b/>
                <w:bCs/>
                <w:color w:val="000000"/>
              </w:rPr>
              <w:t>Total as of 3-31-22</w:t>
            </w:r>
          </w:p>
        </w:tc>
        <w:tc>
          <w:tcPr>
            <w:tcW w:w="2720" w:type="dxa"/>
            <w:tcBorders>
              <w:top w:val="nil"/>
              <w:left w:val="nil"/>
              <w:bottom w:val="single" w:sz="4" w:space="0" w:color="auto"/>
              <w:right w:val="single" w:sz="4" w:space="0" w:color="auto"/>
            </w:tcBorders>
            <w:shd w:val="clear" w:color="auto" w:fill="auto"/>
            <w:vAlign w:val="center"/>
            <w:hideMark/>
          </w:tcPr>
          <w:p w14:paraId="5D8D8DE6" w14:textId="77777777" w:rsidR="00985060" w:rsidRPr="00985060" w:rsidRDefault="00985060" w:rsidP="00985060">
            <w:pPr>
              <w:spacing w:after="0" w:line="240" w:lineRule="auto"/>
              <w:jc w:val="right"/>
              <w:rPr>
                <w:rFonts w:eastAsia="Times New Roman"/>
                <w:b/>
                <w:bCs/>
                <w:color w:val="000000"/>
              </w:rPr>
            </w:pPr>
            <w:r w:rsidRPr="00985060">
              <w:rPr>
                <w:rFonts w:eastAsia="Times New Roman"/>
                <w:b/>
                <w:bCs/>
                <w:color w:val="000000"/>
              </w:rPr>
              <w:t>4,262</w:t>
            </w:r>
          </w:p>
        </w:tc>
      </w:tr>
    </w:tbl>
    <w:p w14:paraId="781EB1B7" w14:textId="77777777" w:rsidR="00985060" w:rsidRDefault="00985060" w:rsidP="00756FD7">
      <w:pPr>
        <w:pStyle w:val="Style1"/>
      </w:pPr>
    </w:p>
    <w:p w14:paraId="6B573487" w14:textId="3FDD1F4E" w:rsidR="00FC4ECB" w:rsidRDefault="00FC4ECB" w:rsidP="00FC4ECB">
      <w:pPr>
        <w:pStyle w:val="Heading2"/>
      </w:pPr>
      <w:bookmarkStart w:id="31" w:name="_Toc102116153"/>
      <w:r>
        <w:t>Website Statement</w:t>
      </w:r>
      <w:bookmarkEnd w:id="31"/>
    </w:p>
    <w:p w14:paraId="3F310C5D" w14:textId="65E6A9E0" w:rsidR="00633039" w:rsidRPr="007D3F23" w:rsidRDefault="00633039" w:rsidP="00D015B0">
      <w:pPr>
        <w:pStyle w:val="Style1"/>
      </w:pPr>
      <w:r>
        <w:t xml:space="preserve">The VRTAC-QM website </w:t>
      </w:r>
      <w:r w:rsidR="00FC4ECB">
        <w:t xml:space="preserve">is fully </w:t>
      </w:r>
      <w:proofErr w:type="gramStart"/>
      <w:r w:rsidR="00FC4ECB">
        <w:t>established</w:t>
      </w:r>
      <w:proofErr w:type="gramEnd"/>
      <w:r w:rsidR="00FC4ECB">
        <w:t xml:space="preserve"> and content is added daily. All products produced </w:t>
      </w:r>
      <w:proofErr w:type="gramStart"/>
      <w:r w:rsidR="00FC4ECB">
        <w:t>and on the website</w:t>
      </w:r>
      <w:proofErr w:type="gramEnd"/>
      <w:r w:rsidR="00FC4ECB">
        <w:t xml:space="preserve"> meet the government and industry-recognized standards for accessibility. Our IT team goes well beyond the minimum required by law and ensures all content generated by the VRTAC-QM is screen-reader friendly.</w:t>
      </w:r>
    </w:p>
    <w:p w14:paraId="0979D952" w14:textId="77777777" w:rsidR="005D694B" w:rsidRDefault="005D694B">
      <w:pPr>
        <w:rPr>
          <w:b/>
          <w:sz w:val="28"/>
        </w:rPr>
      </w:pPr>
      <w:r>
        <w:br w:type="page"/>
      </w:r>
    </w:p>
    <w:p w14:paraId="6B6331D9" w14:textId="74EEBB1B" w:rsidR="007D3F23" w:rsidRDefault="007D76D4" w:rsidP="007D76D4">
      <w:pPr>
        <w:pStyle w:val="Heading2"/>
      </w:pPr>
      <w:bookmarkStart w:id="32" w:name="_Toc102116154"/>
      <w:r>
        <w:lastRenderedPageBreak/>
        <w:t xml:space="preserve">Part 3: Significant program activities, outputs, products and outcomes anticipated between April 1, </w:t>
      </w:r>
      <w:proofErr w:type="gramStart"/>
      <w:r>
        <w:t>202</w:t>
      </w:r>
      <w:r w:rsidR="00985060">
        <w:t>2</w:t>
      </w:r>
      <w:proofErr w:type="gramEnd"/>
      <w:r>
        <w:t xml:space="preserve"> and September 30, 2021</w:t>
      </w:r>
      <w:bookmarkEnd w:id="32"/>
    </w:p>
    <w:p w14:paraId="2F9D73B1" w14:textId="69F1AE21" w:rsidR="007D76D4" w:rsidRDefault="007D76D4" w:rsidP="00D015B0">
      <w:pPr>
        <w:pStyle w:val="Style1"/>
        <w:rPr>
          <w:sz w:val="22"/>
          <w:szCs w:val="22"/>
        </w:rPr>
      </w:pPr>
      <w:r>
        <w:t xml:space="preserve">The VRTAC-QM anticipates that the following activities, </w:t>
      </w:r>
      <w:r>
        <w:rPr>
          <w:sz w:val="22"/>
          <w:szCs w:val="22"/>
        </w:rPr>
        <w:t xml:space="preserve">outputs, products and outcomes will occur between </w:t>
      </w:r>
      <w:r w:rsidR="002D41F7">
        <w:rPr>
          <w:sz w:val="22"/>
          <w:szCs w:val="22"/>
        </w:rPr>
        <w:t xml:space="preserve">April 1, </w:t>
      </w:r>
      <w:proofErr w:type="gramStart"/>
      <w:r w:rsidR="002D41F7">
        <w:rPr>
          <w:sz w:val="22"/>
          <w:szCs w:val="22"/>
        </w:rPr>
        <w:t>2022</w:t>
      </w:r>
      <w:proofErr w:type="gramEnd"/>
      <w:r>
        <w:rPr>
          <w:sz w:val="22"/>
          <w:szCs w:val="22"/>
        </w:rPr>
        <w:t xml:space="preserve"> and September 30, 202</w:t>
      </w:r>
      <w:r w:rsidR="002D41F7">
        <w:rPr>
          <w:sz w:val="22"/>
          <w:szCs w:val="22"/>
        </w:rPr>
        <w:t>2</w:t>
      </w:r>
      <w:r>
        <w:rPr>
          <w:sz w:val="22"/>
          <w:szCs w:val="22"/>
        </w:rPr>
        <w:t>:</w:t>
      </w:r>
    </w:p>
    <w:p w14:paraId="20970B4A" w14:textId="26DDCAE0" w:rsidR="007D76D4" w:rsidRPr="007D76D4" w:rsidRDefault="007D76D4" w:rsidP="00615183">
      <w:pPr>
        <w:pStyle w:val="Style1"/>
        <w:numPr>
          <w:ilvl w:val="6"/>
          <w:numId w:val="1"/>
        </w:numPr>
        <w:ind w:left="720"/>
      </w:pPr>
      <w:r>
        <w:rPr>
          <w:sz w:val="22"/>
          <w:szCs w:val="22"/>
        </w:rPr>
        <w:t>Completion of at least three more ITAAs (</w:t>
      </w:r>
      <w:r w:rsidR="002D41F7">
        <w:rPr>
          <w:sz w:val="22"/>
          <w:szCs w:val="22"/>
        </w:rPr>
        <w:t>Hawaii, Florida General and either New Mexico General, Kentucky Combined or South Carolina General or all three)</w:t>
      </w:r>
      <w:proofErr w:type="gramStart"/>
      <w:r>
        <w:rPr>
          <w:sz w:val="22"/>
          <w:szCs w:val="22"/>
        </w:rPr>
        <w:t>);</w:t>
      </w:r>
      <w:proofErr w:type="gramEnd"/>
    </w:p>
    <w:p w14:paraId="76C06A00" w14:textId="1DB9A52D" w:rsidR="007D76D4" w:rsidRPr="007D76D4" w:rsidRDefault="007D76D4" w:rsidP="00615183">
      <w:pPr>
        <w:pStyle w:val="Style1"/>
        <w:numPr>
          <w:ilvl w:val="6"/>
          <w:numId w:val="1"/>
        </w:numPr>
        <w:ind w:left="720"/>
      </w:pPr>
      <w:r>
        <w:rPr>
          <w:sz w:val="22"/>
          <w:szCs w:val="22"/>
        </w:rPr>
        <w:t xml:space="preserve">Launch of the </w:t>
      </w:r>
      <w:r w:rsidR="002D41F7">
        <w:rPr>
          <w:sz w:val="22"/>
          <w:szCs w:val="22"/>
        </w:rPr>
        <w:t xml:space="preserve">VR Wellness </w:t>
      </w:r>
      <w:proofErr w:type="gramStart"/>
      <w:r w:rsidR="002D41F7">
        <w:rPr>
          <w:sz w:val="22"/>
          <w:szCs w:val="22"/>
        </w:rPr>
        <w:t>Check</w:t>
      </w:r>
      <w:r>
        <w:rPr>
          <w:sz w:val="22"/>
          <w:szCs w:val="22"/>
        </w:rPr>
        <w:t>;</w:t>
      </w:r>
      <w:proofErr w:type="gramEnd"/>
    </w:p>
    <w:p w14:paraId="2C1FFA2B" w14:textId="3BD7F68B" w:rsidR="007D76D4" w:rsidRPr="002D41F7" w:rsidRDefault="002D41F7" w:rsidP="00615183">
      <w:pPr>
        <w:pStyle w:val="Style1"/>
        <w:numPr>
          <w:ilvl w:val="6"/>
          <w:numId w:val="1"/>
        </w:numPr>
        <w:ind w:left="720"/>
      </w:pPr>
      <w:r>
        <w:rPr>
          <w:sz w:val="22"/>
          <w:szCs w:val="22"/>
        </w:rPr>
        <w:t>Launch</w:t>
      </w:r>
      <w:r w:rsidR="007D76D4">
        <w:rPr>
          <w:sz w:val="22"/>
          <w:szCs w:val="22"/>
        </w:rPr>
        <w:t xml:space="preserve"> of Management Concepts </w:t>
      </w:r>
      <w:proofErr w:type="gramStart"/>
      <w:r w:rsidR="007D76D4">
        <w:rPr>
          <w:sz w:val="22"/>
          <w:szCs w:val="22"/>
        </w:rPr>
        <w:t>course</w:t>
      </w:r>
      <w:r>
        <w:rPr>
          <w:sz w:val="22"/>
          <w:szCs w:val="22"/>
        </w:rPr>
        <w:t>s</w:t>
      </w:r>
      <w:r w:rsidR="007D76D4">
        <w:rPr>
          <w:sz w:val="22"/>
          <w:szCs w:val="22"/>
        </w:rPr>
        <w:t>;</w:t>
      </w:r>
      <w:proofErr w:type="gramEnd"/>
    </w:p>
    <w:p w14:paraId="6719F7BB" w14:textId="3FB0A6EB" w:rsidR="002D41F7" w:rsidRPr="007D76D4" w:rsidRDefault="002D41F7" w:rsidP="00615183">
      <w:pPr>
        <w:pStyle w:val="Style1"/>
        <w:numPr>
          <w:ilvl w:val="6"/>
          <w:numId w:val="1"/>
        </w:numPr>
        <w:ind w:left="720"/>
      </w:pPr>
      <w:r>
        <w:rPr>
          <w:sz w:val="22"/>
          <w:szCs w:val="22"/>
        </w:rPr>
        <w:t xml:space="preserve">Completion of the fourth course development for </w:t>
      </w:r>
      <w:proofErr w:type="gramStart"/>
      <w:r>
        <w:rPr>
          <w:sz w:val="22"/>
          <w:szCs w:val="22"/>
        </w:rPr>
        <w:t>MC;</w:t>
      </w:r>
      <w:proofErr w:type="gramEnd"/>
    </w:p>
    <w:p w14:paraId="488887CE" w14:textId="058CE776" w:rsidR="007D76D4" w:rsidRPr="00985060" w:rsidRDefault="005D694B" w:rsidP="00615183">
      <w:pPr>
        <w:pStyle w:val="Style1"/>
        <w:numPr>
          <w:ilvl w:val="6"/>
          <w:numId w:val="1"/>
        </w:numPr>
        <w:ind w:left="720"/>
      </w:pPr>
      <w:r>
        <w:rPr>
          <w:sz w:val="22"/>
          <w:szCs w:val="22"/>
        </w:rPr>
        <w:t xml:space="preserve">Provide targeted and universal TA to multiple SVRAs and </w:t>
      </w:r>
      <w:proofErr w:type="gramStart"/>
      <w:r>
        <w:rPr>
          <w:sz w:val="22"/>
          <w:szCs w:val="22"/>
        </w:rPr>
        <w:t>personnel;</w:t>
      </w:r>
      <w:proofErr w:type="gramEnd"/>
    </w:p>
    <w:p w14:paraId="099843E8" w14:textId="5185974B" w:rsidR="00985060" w:rsidRPr="005D694B" w:rsidRDefault="00985060" w:rsidP="00615183">
      <w:pPr>
        <w:pStyle w:val="Style1"/>
        <w:numPr>
          <w:ilvl w:val="6"/>
          <w:numId w:val="1"/>
        </w:numPr>
        <w:ind w:left="720"/>
      </w:pPr>
      <w:r>
        <w:rPr>
          <w:sz w:val="22"/>
          <w:szCs w:val="22"/>
        </w:rPr>
        <w:t xml:space="preserve">Create more online and in-person training in partnership with other TA </w:t>
      </w:r>
      <w:proofErr w:type="gramStart"/>
      <w:r>
        <w:rPr>
          <w:sz w:val="22"/>
          <w:szCs w:val="22"/>
        </w:rPr>
        <w:t>Centers;</w:t>
      </w:r>
      <w:proofErr w:type="gramEnd"/>
    </w:p>
    <w:p w14:paraId="45288750" w14:textId="5145A627" w:rsidR="005D694B" w:rsidRPr="005D694B" w:rsidRDefault="005D694B" w:rsidP="00615183">
      <w:pPr>
        <w:pStyle w:val="Style1"/>
        <w:numPr>
          <w:ilvl w:val="6"/>
          <w:numId w:val="1"/>
        </w:numPr>
        <w:ind w:left="720"/>
      </w:pPr>
      <w:r>
        <w:rPr>
          <w:sz w:val="22"/>
          <w:szCs w:val="22"/>
        </w:rPr>
        <w:t>Develop additional content for the website; and</w:t>
      </w:r>
    </w:p>
    <w:p w14:paraId="78041116" w14:textId="2DBA5F58" w:rsidR="005D694B" w:rsidRDefault="005D694B" w:rsidP="00615183">
      <w:pPr>
        <w:pStyle w:val="Style1"/>
        <w:numPr>
          <w:ilvl w:val="6"/>
          <w:numId w:val="1"/>
        </w:numPr>
        <w:ind w:left="720"/>
      </w:pPr>
      <w:r>
        <w:rPr>
          <w:sz w:val="22"/>
          <w:szCs w:val="22"/>
        </w:rPr>
        <w:t>Continue development of the special projects.</w:t>
      </w:r>
    </w:p>
    <w:p w14:paraId="5938932B" w14:textId="0E5E9680" w:rsidR="007D76D4" w:rsidRDefault="005D694B" w:rsidP="005D694B">
      <w:pPr>
        <w:pStyle w:val="Heading2"/>
      </w:pPr>
      <w:bookmarkStart w:id="33" w:name="_Toc102116155"/>
      <w:r>
        <w:t xml:space="preserve">Part 4: Challenges, </w:t>
      </w:r>
      <w:proofErr w:type="gramStart"/>
      <w:r>
        <w:t>opportunities</w:t>
      </w:r>
      <w:proofErr w:type="gramEnd"/>
      <w:r>
        <w:t xml:space="preserve"> and emerging issues</w:t>
      </w:r>
      <w:bookmarkEnd w:id="33"/>
    </w:p>
    <w:p w14:paraId="2C7FF7EB" w14:textId="77777777" w:rsidR="00AF61A5" w:rsidRDefault="00985060" w:rsidP="00AF61A5">
      <w:pPr>
        <w:pStyle w:val="Style1"/>
      </w:pPr>
      <w:r>
        <w:t xml:space="preserve">The challenges noted in previous reports continue, though the additional staff we were able to hire thanks to the supplement funds have been very helpful. </w:t>
      </w:r>
      <w:r w:rsidR="00AF61A5">
        <w:t xml:space="preserve">We have been doing research into issues affecting the performance of the VR program as we emerge from the </w:t>
      </w:r>
      <w:proofErr w:type="gramStart"/>
      <w:r w:rsidR="00AF61A5">
        <w:t>pandemic</w:t>
      </w:r>
      <w:proofErr w:type="gramEnd"/>
      <w:r w:rsidR="00AF61A5">
        <w:t xml:space="preserve"> and we will continue to develop training and provide TA on these topics. </w:t>
      </w:r>
    </w:p>
    <w:p w14:paraId="1402F04B" w14:textId="290D2549" w:rsidR="005D694B" w:rsidRDefault="005D694B" w:rsidP="005D694B">
      <w:pPr>
        <w:pStyle w:val="Heading2"/>
      </w:pPr>
      <w:bookmarkStart w:id="34" w:name="_Toc102116156"/>
      <w:r>
        <w:t>Part 5: COVID-9 Impact</w:t>
      </w:r>
      <w:bookmarkEnd w:id="34"/>
    </w:p>
    <w:p w14:paraId="35ED66A8" w14:textId="086F3A60" w:rsidR="00EF46EA" w:rsidRDefault="00AF61A5" w:rsidP="00D015B0">
      <w:pPr>
        <w:pStyle w:val="Style1"/>
      </w:pPr>
      <w:r>
        <w:t>The impact of COVID has not been significant on us as a Center. Travel is picking back up and we continue to observe all safety protocols and CDC guidance when we work with agencies.</w:t>
      </w:r>
    </w:p>
    <w:p w14:paraId="403F8041" w14:textId="71A0AAF0" w:rsidR="005D694B" w:rsidRDefault="00EF46EA" w:rsidP="00EF46EA">
      <w:pPr>
        <w:pStyle w:val="Heading1"/>
      </w:pPr>
      <w:bookmarkStart w:id="35" w:name="_Toc102116157"/>
      <w:r>
        <w:t>Section B: Work Plan</w:t>
      </w:r>
      <w:bookmarkEnd w:id="35"/>
    </w:p>
    <w:p w14:paraId="51394569" w14:textId="77777777" w:rsidR="00AF61A5" w:rsidRDefault="00AF61A5" w:rsidP="00D015B0">
      <w:pPr>
        <w:pStyle w:val="Style1"/>
      </w:pPr>
      <w:r>
        <w:t>The Year 3 Work plan is included in Table 5.</w:t>
      </w:r>
    </w:p>
    <w:p w14:paraId="12B9DAC5" w14:textId="77777777" w:rsidR="00CC5F83" w:rsidRDefault="00CC5F83">
      <w:r>
        <w:br w:type="page"/>
      </w:r>
    </w:p>
    <w:p w14:paraId="32A77FB8" w14:textId="30E66B94" w:rsidR="00AF61A5" w:rsidRDefault="00AF61A5" w:rsidP="00CC5F83">
      <w:pPr>
        <w:pStyle w:val="NoSpacing"/>
      </w:pPr>
      <w:r>
        <w:lastRenderedPageBreak/>
        <w:t>Table 5</w:t>
      </w:r>
    </w:p>
    <w:p w14:paraId="01B9D378" w14:textId="0E680D53" w:rsidR="005D694B" w:rsidRDefault="00AF61A5" w:rsidP="00CC5F83">
      <w:pPr>
        <w:pStyle w:val="NoSpacing"/>
        <w:rPr>
          <w:i/>
          <w:iCs/>
        </w:rPr>
      </w:pPr>
      <w:r w:rsidRPr="00CC5F83">
        <w:rPr>
          <w:i/>
          <w:iCs/>
        </w:rPr>
        <w:t>Year 3 Work P</w:t>
      </w:r>
      <w:r w:rsidR="00CC5F83" w:rsidRPr="00CC5F83">
        <w:rPr>
          <w:i/>
          <w:iCs/>
        </w:rPr>
        <w:t>l</w:t>
      </w:r>
      <w:r w:rsidRPr="00CC5F83">
        <w:rPr>
          <w:i/>
          <w:iCs/>
        </w:rPr>
        <w:t>an</w:t>
      </w:r>
      <w:r w:rsidR="00CC5F83" w:rsidRPr="00CC5F83">
        <w:rPr>
          <w:i/>
          <w:iCs/>
        </w:rPr>
        <w:t xml:space="preserve"> </w:t>
      </w:r>
      <w:r w:rsidRPr="00CC5F83">
        <w:rPr>
          <w:i/>
          <w:iCs/>
        </w:rPr>
        <w:t xml:space="preserve"> </w:t>
      </w:r>
    </w:p>
    <w:tbl>
      <w:tblPr>
        <w:tblW w:w="9340" w:type="dxa"/>
        <w:tblLook w:val="04A0" w:firstRow="1" w:lastRow="0" w:firstColumn="1" w:lastColumn="0" w:noHBand="0" w:noVBand="1"/>
      </w:tblPr>
      <w:tblGrid>
        <w:gridCol w:w="3520"/>
        <w:gridCol w:w="3400"/>
        <w:gridCol w:w="2420"/>
      </w:tblGrid>
      <w:tr w:rsidR="00CC5F83" w:rsidRPr="00CC5F83" w14:paraId="6C30F732" w14:textId="77777777" w:rsidTr="00CC5F83">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2569F035" w14:textId="77777777" w:rsidR="00CC5F83" w:rsidRPr="00CC5F83" w:rsidRDefault="00CC5F83" w:rsidP="00CC5F83">
            <w:pPr>
              <w:spacing w:after="0" w:line="240" w:lineRule="auto"/>
              <w:jc w:val="center"/>
              <w:rPr>
                <w:rFonts w:eastAsia="Times New Roman"/>
                <w:b/>
                <w:bCs/>
                <w:color w:val="000000"/>
              </w:rPr>
            </w:pPr>
            <w:r w:rsidRPr="00CC5F83">
              <w:rPr>
                <w:rFonts w:eastAsia="Times New Roman"/>
                <w:b/>
                <w:bCs/>
                <w:color w:val="000000"/>
              </w:rPr>
              <w:t>Year 3 Work Plan</w:t>
            </w:r>
          </w:p>
        </w:tc>
      </w:tr>
      <w:tr w:rsidR="00CC5F83" w:rsidRPr="00CC5F83" w14:paraId="5A44E88D" w14:textId="77777777" w:rsidTr="00CC5F83">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2D88201E" w14:textId="77777777" w:rsidR="00CC5F83" w:rsidRPr="00CC5F83" w:rsidRDefault="00CC5F83" w:rsidP="00CC5F83">
            <w:pPr>
              <w:spacing w:after="0" w:line="240" w:lineRule="auto"/>
              <w:rPr>
                <w:rFonts w:eastAsia="Times New Roman"/>
                <w:b/>
                <w:bCs/>
                <w:color w:val="000000"/>
              </w:rPr>
            </w:pPr>
            <w:r w:rsidRPr="00CC5F83">
              <w:rPr>
                <w:rFonts w:eastAsia="Times New Roman"/>
                <w:b/>
                <w:bCs/>
                <w:color w:val="000000"/>
              </w:rPr>
              <w:t>Domain: Knowledge Development</w:t>
            </w:r>
          </w:p>
        </w:tc>
      </w:tr>
      <w:tr w:rsidR="00CC5F83" w:rsidRPr="00CC5F83" w14:paraId="2921B44C" w14:textId="77777777" w:rsidTr="00CC5F83">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209A5845"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5C3909E2"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133D137F"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Projected Completion</w:t>
            </w:r>
          </w:p>
        </w:tc>
      </w:tr>
      <w:tr w:rsidR="00CC5F83" w:rsidRPr="00CC5F83" w14:paraId="339DC6F5" w14:textId="77777777" w:rsidTr="00CC5F83">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D0E9431"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Finalize and launch the VR Wellness Check tool</w:t>
            </w:r>
          </w:p>
        </w:tc>
        <w:tc>
          <w:tcPr>
            <w:tcW w:w="3400" w:type="dxa"/>
            <w:tcBorders>
              <w:top w:val="nil"/>
              <w:left w:val="nil"/>
              <w:bottom w:val="single" w:sz="4" w:space="0" w:color="auto"/>
              <w:right w:val="single" w:sz="4" w:space="0" w:color="auto"/>
            </w:tcBorders>
            <w:shd w:val="clear" w:color="auto" w:fill="auto"/>
            <w:vAlign w:val="center"/>
            <w:hideMark/>
          </w:tcPr>
          <w:p w14:paraId="0357C15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 xml:space="preserve">Wellness </w:t>
            </w:r>
            <w:proofErr w:type="gramStart"/>
            <w:r w:rsidRPr="00CC5F83">
              <w:rPr>
                <w:rFonts w:eastAsia="Times New Roman"/>
                <w:color w:val="000000"/>
              </w:rPr>
              <w:t>check</w:t>
            </w:r>
            <w:proofErr w:type="gramEnd"/>
            <w:r w:rsidRPr="00CC5F83">
              <w:rPr>
                <w:rFonts w:eastAsia="Times New Roman"/>
                <w:color w:val="000000"/>
              </w:rPr>
              <w:t xml:space="preserve"> complete and available on the website for use by VR agencies. </w:t>
            </w:r>
          </w:p>
        </w:tc>
        <w:tc>
          <w:tcPr>
            <w:tcW w:w="2420" w:type="dxa"/>
            <w:tcBorders>
              <w:top w:val="nil"/>
              <w:left w:val="nil"/>
              <w:bottom w:val="single" w:sz="4" w:space="0" w:color="auto"/>
              <w:right w:val="single" w:sz="4" w:space="0" w:color="auto"/>
            </w:tcBorders>
            <w:shd w:val="clear" w:color="auto" w:fill="auto"/>
            <w:vAlign w:val="center"/>
            <w:hideMark/>
          </w:tcPr>
          <w:p w14:paraId="58A10085"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Q1 - Q2</w:t>
            </w:r>
          </w:p>
        </w:tc>
      </w:tr>
      <w:tr w:rsidR="00CC5F83" w:rsidRPr="00CC5F83" w14:paraId="2E9F5974" w14:textId="77777777" w:rsidTr="00CC5F83">
        <w:trPr>
          <w:trHeight w:val="37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6E67A46"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Conduct research on issues related to the quality management of the VR program and develop related TA and training</w:t>
            </w:r>
          </w:p>
        </w:tc>
        <w:tc>
          <w:tcPr>
            <w:tcW w:w="3400" w:type="dxa"/>
            <w:tcBorders>
              <w:top w:val="nil"/>
              <w:left w:val="nil"/>
              <w:bottom w:val="single" w:sz="4" w:space="0" w:color="auto"/>
              <w:right w:val="single" w:sz="4" w:space="0" w:color="auto"/>
            </w:tcBorders>
            <w:shd w:val="clear" w:color="auto" w:fill="auto"/>
            <w:vAlign w:val="center"/>
            <w:hideMark/>
          </w:tcPr>
          <w:p w14:paraId="12ED9E0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 xml:space="preserve">Completed research and informational or training products available to VR agencies on emerging topics related to quality management. Full research on rapid engagement </w:t>
            </w:r>
            <w:proofErr w:type="gramStart"/>
            <w:r w:rsidRPr="00CC5F83">
              <w:rPr>
                <w:rFonts w:eastAsia="Times New Roman"/>
                <w:color w:val="000000"/>
              </w:rPr>
              <w:t>complete</w:t>
            </w:r>
            <w:proofErr w:type="gramEnd"/>
            <w:r w:rsidRPr="00CC5F83">
              <w:rPr>
                <w:rFonts w:eastAsia="Times New Roman"/>
                <w:color w:val="000000"/>
              </w:rPr>
              <w:t xml:space="preserve"> in Year 3</w:t>
            </w:r>
          </w:p>
        </w:tc>
        <w:tc>
          <w:tcPr>
            <w:tcW w:w="2420" w:type="dxa"/>
            <w:tcBorders>
              <w:top w:val="nil"/>
              <w:left w:val="nil"/>
              <w:bottom w:val="single" w:sz="4" w:space="0" w:color="auto"/>
              <w:right w:val="single" w:sz="4" w:space="0" w:color="auto"/>
            </w:tcBorders>
            <w:shd w:val="clear" w:color="auto" w:fill="auto"/>
            <w:vAlign w:val="center"/>
            <w:hideMark/>
          </w:tcPr>
          <w:p w14:paraId="40D46123"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 but rapid engagement and supervisor leadership to be completed in Year 3 by the end of the year. The nature of this element is that the topics change as they emerge as needs for the VR agencies and the improvement of the program</w:t>
            </w:r>
          </w:p>
        </w:tc>
      </w:tr>
      <w:tr w:rsidR="00CC5F83" w:rsidRPr="00CC5F83" w14:paraId="145811AF" w14:textId="77777777" w:rsidTr="00CC5F83">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32377389" w14:textId="77777777" w:rsidR="00CC5F83" w:rsidRPr="00CC5F83" w:rsidRDefault="00CC5F83" w:rsidP="00CC5F83">
            <w:pPr>
              <w:spacing w:after="0" w:line="240" w:lineRule="auto"/>
              <w:rPr>
                <w:rFonts w:eastAsia="Times New Roman"/>
                <w:b/>
                <w:bCs/>
                <w:color w:val="000000"/>
              </w:rPr>
            </w:pPr>
            <w:r w:rsidRPr="00CC5F83">
              <w:rPr>
                <w:rFonts w:eastAsia="Times New Roman"/>
                <w:b/>
                <w:bCs/>
                <w:color w:val="000000"/>
              </w:rPr>
              <w:t>Domain: TA and Training</w:t>
            </w:r>
          </w:p>
        </w:tc>
      </w:tr>
      <w:tr w:rsidR="00CC5F83" w:rsidRPr="00CC5F83" w14:paraId="49E2CB4B" w14:textId="77777777" w:rsidTr="00CC5F83">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11AB21EC"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6D4108D0"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72FC0899"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Projected Completion</w:t>
            </w:r>
          </w:p>
        </w:tc>
      </w:tr>
      <w:tr w:rsidR="00CC5F83" w:rsidRPr="00CC5F83" w14:paraId="0F7F3F6B" w14:textId="77777777" w:rsidTr="00CC5F83">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C9DE3E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Management Concepts grants management training available to all SVRAs</w:t>
            </w:r>
          </w:p>
        </w:tc>
        <w:tc>
          <w:tcPr>
            <w:tcW w:w="3400" w:type="dxa"/>
            <w:tcBorders>
              <w:top w:val="nil"/>
              <w:left w:val="nil"/>
              <w:bottom w:val="single" w:sz="4" w:space="0" w:color="auto"/>
              <w:right w:val="single" w:sz="4" w:space="0" w:color="auto"/>
            </w:tcBorders>
            <w:shd w:val="clear" w:color="auto" w:fill="auto"/>
            <w:vAlign w:val="center"/>
            <w:hideMark/>
          </w:tcPr>
          <w:p w14:paraId="703BC3DE"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At least 300 instances of courses completed by SVRA personnel</w:t>
            </w:r>
          </w:p>
        </w:tc>
        <w:tc>
          <w:tcPr>
            <w:tcW w:w="2420" w:type="dxa"/>
            <w:tcBorders>
              <w:top w:val="nil"/>
              <w:left w:val="nil"/>
              <w:bottom w:val="single" w:sz="4" w:space="0" w:color="auto"/>
              <w:right w:val="single" w:sz="4" w:space="0" w:color="auto"/>
            </w:tcBorders>
            <w:shd w:val="clear" w:color="auto" w:fill="auto"/>
            <w:vAlign w:val="center"/>
            <w:hideMark/>
          </w:tcPr>
          <w:p w14:paraId="3FD5FE0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3 of 4 courses available in Q1</w:t>
            </w:r>
          </w:p>
        </w:tc>
      </w:tr>
      <w:tr w:rsidR="00CC5F83" w:rsidRPr="00CC5F83" w14:paraId="72D8A86E" w14:textId="77777777" w:rsidTr="00CC5F83">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FB09C6D"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 development of the fourth and final course in the VR Grants Management Certificate program</w:t>
            </w:r>
          </w:p>
        </w:tc>
        <w:tc>
          <w:tcPr>
            <w:tcW w:w="3400" w:type="dxa"/>
            <w:tcBorders>
              <w:top w:val="nil"/>
              <w:left w:val="nil"/>
              <w:bottom w:val="single" w:sz="4" w:space="0" w:color="auto"/>
              <w:right w:val="single" w:sz="4" w:space="0" w:color="auto"/>
            </w:tcBorders>
            <w:shd w:val="clear" w:color="auto" w:fill="auto"/>
            <w:vAlign w:val="center"/>
            <w:hideMark/>
          </w:tcPr>
          <w:p w14:paraId="556DD00C"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Completed course</w:t>
            </w:r>
          </w:p>
        </w:tc>
        <w:tc>
          <w:tcPr>
            <w:tcW w:w="2420" w:type="dxa"/>
            <w:tcBorders>
              <w:top w:val="nil"/>
              <w:left w:val="nil"/>
              <w:bottom w:val="single" w:sz="4" w:space="0" w:color="auto"/>
              <w:right w:val="single" w:sz="4" w:space="0" w:color="auto"/>
            </w:tcBorders>
            <w:shd w:val="clear" w:color="auto" w:fill="auto"/>
            <w:vAlign w:val="center"/>
            <w:hideMark/>
          </w:tcPr>
          <w:p w14:paraId="70D33D04"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Q2</w:t>
            </w:r>
          </w:p>
        </w:tc>
      </w:tr>
      <w:tr w:rsidR="00CC5F83" w:rsidRPr="00CC5F83" w14:paraId="644BF8AB" w14:textId="77777777" w:rsidTr="00CC5F83">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CC2660A"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QM Executive Leadership Seminar Series training completed for the existing cohort and beginning for a new cohort</w:t>
            </w:r>
          </w:p>
        </w:tc>
        <w:tc>
          <w:tcPr>
            <w:tcW w:w="3400" w:type="dxa"/>
            <w:tcBorders>
              <w:top w:val="nil"/>
              <w:left w:val="nil"/>
              <w:bottom w:val="single" w:sz="4" w:space="0" w:color="auto"/>
              <w:right w:val="single" w:sz="4" w:space="0" w:color="auto"/>
            </w:tcBorders>
            <w:shd w:val="clear" w:color="auto" w:fill="auto"/>
            <w:vAlign w:val="center"/>
            <w:hideMark/>
          </w:tcPr>
          <w:p w14:paraId="48D184FE"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One cohort completed and one beginning. Leadership skills and knowledge increased for participants</w:t>
            </w:r>
          </w:p>
        </w:tc>
        <w:tc>
          <w:tcPr>
            <w:tcW w:w="2420" w:type="dxa"/>
            <w:tcBorders>
              <w:top w:val="nil"/>
              <w:left w:val="nil"/>
              <w:bottom w:val="single" w:sz="4" w:space="0" w:color="auto"/>
              <w:right w:val="single" w:sz="4" w:space="0" w:color="auto"/>
            </w:tcBorders>
            <w:shd w:val="clear" w:color="auto" w:fill="auto"/>
            <w:vAlign w:val="center"/>
            <w:hideMark/>
          </w:tcPr>
          <w:p w14:paraId="28E7EBC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Existing cohort completes in Q2 and new one begins in Q2</w:t>
            </w:r>
          </w:p>
        </w:tc>
      </w:tr>
      <w:tr w:rsidR="00CC5F83" w:rsidRPr="00CC5F83" w14:paraId="508B72D3" w14:textId="77777777" w:rsidTr="00CC5F83">
        <w:trPr>
          <w:trHeight w:val="18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8FA2BE"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Deliver universal TA to SVRAs</w:t>
            </w:r>
          </w:p>
        </w:tc>
        <w:tc>
          <w:tcPr>
            <w:tcW w:w="3400" w:type="dxa"/>
            <w:tcBorders>
              <w:top w:val="nil"/>
              <w:left w:val="nil"/>
              <w:bottom w:val="single" w:sz="4" w:space="0" w:color="auto"/>
              <w:right w:val="single" w:sz="4" w:space="0" w:color="auto"/>
            </w:tcBorders>
            <w:shd w:val="clear" w:color="auto" w:fill="auto"/>
            <w:vAlign w:val="center"/>
            <w:hideMark/>
          </w:tcPr>
          <w:p w14:paraId="0E633F13"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 xml:space="preserve">Readily available information and resources on quality management strategies and practices on the website and through podcasts, social media, </w:t>
            </w:r>
            <w:proofErr w:type="gramStart"/>
            <w:r w:rsidRPr="00CC5F83">
              <w:rPr>
                <w:rFonts w:eastAsia="Times New Roman"/>
                <w:color w:val="000000"/>
              </w:rPr>
              <w:t>webinars</w:t>
            </w:r>
            <w:proofErr w:type="gramEnd"/>
            <w:r w:rsidRPr="00CC5F83">
              <w:rPr>
                <w:rFonts w:eastAsia="Times New Roman"/>
                <w:color w:val="000000"/>
              </w:rPr>
              <w:t xml:space="preserve"> and conference presentations.</w:t>
            </w:r>
          </w:p>
        </w:tc>
        <w:tc>
          <w:tcPr>
            <w:tcW w:w="2420" w:type="dxa"/>
            <w:tcBorders>
              <w:top w:val="nil"/>
              <w:left w:val="nil"/>
              <w:bottom w:val="single" w:sz="4" w:space="0" w:color="auto"/>
              <w:right w:val="single" w:sz="4" w:space="0" w:color="auto"/>
            </w:tcBorders>
            <w:shd w:val="clear" w:color="auto" w:fill="auto"/>
            <w:vAlign w:val="center"/>
            <w:hideMark/>
          </w:tcPr>
          <w:p w14:paraId="10776C89"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 in Q1-4</w:t>
            </w:r>
          </w:p>
        </w:tc>
      </w:tr>
      <w:tr w:rsidR="00CC5F83" w:rsidRPr="00CC5F83" w14:paraId="649CA491" w14:textId="77777777" w:rsidTr="001232D8">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50BE2D79" w14:textId="77777777" w:rsidR="00CC5F83" w:rsidRPr="00CC5F83" w:rsidRDefault="00CC5F83" w:rsidP="001232D8">
            <w:pPr>
              <w:spacing w:after="0" w:line="240" w:lineRule="auto"/>
              <w:jc w:val="center"/>
              <w:rPr>
                <w:rFonts w:eastAsia="Times New Roman"/>
                <w:b/>
                <w:bCs/>
                <w:color w:val="FFFFFF"/>
              </w:rPr>
            </w:pPr>
            <w:r w:rsidRPr="00CC5F83">
              <w:rPr>
                <w:rFonts w:eastAsia="Times New Roman"/>
                <w:b/>
                <w:bCs/>
                <w:color w:val="FFFFFF"/>
              </w:rPr>
              <w:lastRenderedPageBreak/>
              <w:t>Activity</w:t>
            </w:r>
          </w:p>
        </w:tc>
        <w:tc>
          <w:tcPr>
            <w:tcW w:w="3400" w:type="dxa"/>
            <w:tcBorders>
              <w:top w:val="nil"/>
              <w:left w:val="nil"/>
              <w:bottom w:val="single" w:sz="4" w:space="0" w:color="auto"/>
              <w:right w:val="single" w:sz="4" w:space="0" w:color="auto"/>
            </w:tcBorders>
            <w:shd w:val="clear" w:color="000000" w:fill="C65911"/>
            <w:vAlign w:val="center"/>
            <w:hideMark/>
          </w:tcPr>
          <w:p w14:paraId="2AE36176" w14:textId="77777777" w:rsidR="00CC5F83" w:rsidRPr="00CC5F83" w:rsidRDefault="00CC5F83" w:rsidP="001232D8">
            <w:pPr>
              <w:spacing w:after="0" w:line="240" w:lineRule="auto"/>
              <w:jc w:val="center"/>
              <w:rPr>
                <w:rFonts w:eastAsia="Times New Roman"/>
                <w:b/>
                <w:bCs/>
                <w:color w:val="FFFFFF"/>
              </w:rPr>
            </w:pPr>
            <w:r w:rsidRPr="00CC5F83">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701EB1EC" w14:textId="77777777" w:rsidR="00CC5F83" w:rsidRPr="00CC5F83" w:rsidRDefault="00CC5F83" w:rsidP="001232D8">
            <w:pPr>
              <w:spacing w:after="0" w:line="240" w:lineRule="auto"/>
              <w:jc w:val="center"/>
              <w:rPr>
                <w:rFonts w:eastAsia="Times New Roman"/>
                <w:b/>
                <w:bCs/>
                <w:color w:val="FFFFFF"/>
              </w:rPr>
            </w:pPr>
            <w:r w:rsidRPr="00CC5F83">
              <w:rPr>
                <w:rFonts w:eastAsia="Times New Roman"/>
                <w:b/>
                <w:bCs/>
                <w:color w:val="FFFFFF"/>
              </w:rPr>
              <w:t>Projected Completion</w:t>
            </w:r>
          </w:p>
        </w:tc>
      </w:tr>
      <w:tr w:rsidR="00CC5F83" w:rsidRPr="00CC5F83" w14:paraId="67795F5C" w14:textId="77777777" w:rsidTr="00CC5F83">
        <w:trPr>
          <w:trHeight w:val="34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0C0E531"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 xml:space="preserve">Deliver targeted TA to SVRAs </w:t>
            </w:r>
          </w:p>
        </w:tc>
        <w:tc>
          <w:tcPr>
            <w:tcW w:w="3400" w:type="dxa"/>
            <w:tcBorders>
              <w:top w:val="nil"/>
              <w:left w:val="nil"/>
              <w:bottom w:val="single" w:sz="4" w:space="0" w:color="auto"/>
              <w:right w:val="single" w:sz="4" w:space="0" w:color="auto"/>
            </w:tcBorders>
            <w:shd w:val="clear" w:color="auto" w:fill="auto"/>
            <w:vAlign w:val="center"/>
            <w:hideMark/>
          </w:tcPr>
          <w:p w14:paraId="532548CA"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SVRA staff increase their knowledge of quality management practices and strategies and implement them to improve service delivery and outcomes.</w:t>
            </w:r>
          </w:p>
        </w:tc>
        <w:tc>
          <w:tcPr>
            <w:tcW w:w="2420" w:type="dxa"/>
            <w:tcBorders>
              <w:top w:val="nil"/>
              <w:left w:val="nil"/>
              <w:bottom w:val="single" w:sz="4" w:space="0" w:color="auto"/>
              <w:right w:val="single" w:sz="4" w:space="0" w:color="auto"/>
            </w:tcBorders>
            <w:shd w:val="clear" w:color="auto" w:fill="auto"/>
            <w:vAlign w:val="center"/>
            <w:hideMark/>
          </w:tcPr>
          <w:p w14:paraId="58664BDE"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Continuous throughout the year. It is expected that the numbers receiving targeted TA may reduce somewhat from Year 2 as more resources are directed to intensive TA. The total will be well above the Cooperative agreement targets.</w:t>
            </w:r>
          </w:p>
        </w:tc>
      </w:tr>
      <w:tr w:rsidR="00CC5F83" w:rsidRPr="00CC5F83" w14:paraId="3ADBF4F9" w14:textId="77777777" w:rsidTr="00CC5F83">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64C32DA"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Establish CoPs in quality program and fiscal mgmt.</w:t>
            </w:r>
          </w:p>
        </w:tc>
        <w:tc>
          <w:tcPr>
            <w:tcW w:w="3400" w:type="dxa"/>
            <w:tcBorders>
              <w:top w:val="nil"/>
              <w:left w:val="nil"/>
              <w:bottom w:val="single" w:sz="4" w:space="0" w:color="auto"/>
              <w:right w:val="single" w:sz="4" w:space="0" w:color="auto"/>
            </w:tcBorders>
            <w:shd w:val="clear" w:color="auto" w:fill="auto"/>
            <w:vAlign w:val="center"/>
            <w:hideMark/>
          </w:tcPr>
          <w:p w14:paraId="24479449"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Continuation of the monitoring, SE, and CE CoPs, with the addition of the case review CoP</w:t>
            </w:r>
          </w:p>
        </w:tc>
        <w:tc>
          <w:tcPr>
            <w:tcW w:w="2420" w:type="dxa"/>
            <w:tcBorders>
              <w:top w:val="nil"/>
              <w:left w:val="nil"/>
              <w:bottom w:val="single" w:sz="4" w:space="0" w:color="auto"/>
              <w:right w:val="single" w:sz="4" w:space="0" w:color="auto"/>
            </w:tcBorders>
            <w:shd w:val="clear" w:color="auto" w:fill="auto"/>
            <w:vAlign w:val="center"/>
            <w:hideMark/>
          </w:tcPr>
          <w:p w14:paraId="69108C1C"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Continuous - Case review active in Q1</w:t>
            </w:r>
          </w:p>
        </w:tc>
      </w:tr>
      <w:tr w:rsidR="00CC5F83" w:rsidRPr="00CC5F83" w14:paraId="6CC778FB" w14:textId="77777777" w:rsidTr="00CC5F83">
        <w:trPr>
          <w:trHeight w:val="248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351D664"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Launch the recruitment and retention pilot project</w:t>
            </w:r>
          </w:p>
        </w:tc>
        <w:tc>
          <w:tcPr>
            <w:tcW w:w="3400" w:type="dxa"/>
            <w:tcBorders>
              <w:top w:val="nil"/>
              <w:left w:val="nil"/>
              <w:bottom w:val="single" w:sz="4" w:space="0" w:color="auto"/>
              <w:right w:val="single" w:sz="4" w:space="0" w:color="auto"/>
            </w:tcBorders>
            <w:shd w:val="clear" w:color="auto" w:fill="auto"/>
            <w:vAlign w:val="center"/>
            <w:hideMark/>
          </w:tcPr>
          <w:p w14:paraId="159A7D51"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Assist four SVRAs to develop a recruitment and retention plan to ensure that quality management strategies and practices are in place that will maximize the ability of the agencies to recruit qualified staff and retain the staff they have.</w:t>
            </w:r>
          </w:p>
        </w:tc>
        <w:tc>
          <w:tcPr>
            <w:tcW w:w="2420" w:type="dxa"/>
            <w:tcBorders>
              <w:top w:val="nil"/>
              <w:left w:val="nil"/>
              <w:bottom w:val="single" w:sz="4" w:space="0" w:color="auto"/>
              <w:right w:val="single" w:sz="4" w:space="0" w:color="auto"/>
            </w:tcBorders>
            <w:shd w:val="clear" w:color="auto" w:fill="auto"/>
            <w:vAlign w:val="center"/>
            <w:hideMark/>
          </w:tcPr>
          <w:p w14:paraId="62C64EBC"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Begin by Q2 and then ongoing through the life of the project</w:t>
            </w:r>
          </w:p>
        </w:tc>
      </w:tr>
      <w:tr w:rsidR="00CC5F83" w:rsidRPr="00CC5F83" w14:paraId="6932EB39" w14:textId="77777777" w:rsidTr="00CC5F83">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B792A99"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Develop fiscal fitness training in various topics</w:t>
            </w:r>
          </w:p>
        </w:tc>
        <w:tc>
          <w:tcPr>
            <w:tcW w:w="3400" w:type="dxa"/>
            <w:tcBorders>
              <w:top w:val="nil"/>
              <w:left w:val="nil"/>
              <w:bottom w:val="single" w:sz="4" w:space="0" w:color="auto"/>
              <w:right w:val="single" w:sz="4" w:space="0" w:color="auto"/>
            </w:tcBorders>
            <w:shd w:val="clear" w:color="auto" w:fill="auto"/>
            <w:vAlign w:val="center"/>
            <w:hideMark/>
          </w:tcPr>
          <w:p w14:paraId="3263FB56"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Fiscal fitness trainings on Period of Performance, Waiver of statewideness, Blind and General agency transfer and other topics</w:t>
            </w:r>
          </w:p>
        </w:tc>
        <w:tc>
          <w:tcPr>
            <w:tcW w:w="2420" w:type="dxa"/>
            <w:tcBorders>
              <w:top w:val="nil"/>
              <w:left w:val="nil"/>
              <w:bottom w:val="single" w:sz="4" w:space="0" w:color="auto"/>
              <w:right w:val="single" w:sz="4" w:space="0" w:color="auto"/>
            </w:tcBorders>
            <w:shd w:val="clear" w:color="auto" w:fill="auto"/>
            <w:vAlign w:val="center"/>
            <w:hideMark/>
          </w:tcPr>
          <w:p w14:paraId="40ADDE3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Continuous in Q1-4</w:t>
            </w:r>
          </w:p>
        </w:tc>
      </w:tr>
      <w:tr w:rsidR="00CC5F83" w:rsidRPr="00CC5F83" w14:paraId="711E96C0" w14:textId="77777777" w:rsidTr="00CC5F83">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176E496"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Develop rate-setting and contract development guide</w:t>
            </w:r>
          </w:p>
        </w:tc>
        <w:tc>
          <w:tcPr>
            <w:tcW w:w="3400" w:type="dxa"/>
            <w:tcBorders>
              <w:top w:val="nil"/>
              <w:left w:val="nil"/>
              <w:bottom w:val="single" w:sz="4" w:space="0" w:color="auto"/>
              <w:right w:val="single" w:sz="4" w:space="0" w:color="auto"/>
            </w:tcBorders>
            <w:shd w:val="clear" w:color="auto" w:fill="auto"/>
            <w:vAlign w:val="center"/>
            <w:hideMark/>
          </w:tcPr>
          <w:p w14:paraId="292C4A8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Completed guides that will result in acceptable rate-setting methodology and improved contract development</w:t>
            </w:r>
          </w:p>
        </w:tc>
        <w:tc>
          <w:tcPr>
            <w:tcW w:w="2420" w:type="dxa"/>
            <w:tcBorders>
              <w:top w:val="nil"/>
              <w:left w:val="nil"/>
              <w:bottom w:val="single" w:sz="4" w:space="0" w:color="auto"/>
              <w:right w:val="single" w:sz="4" w:space="0" w:color="auto"/>
            </w:tcBorders>
            <w:shd w:val="clear" w:color="auto" w:fill="auto"/>
            <w:vAlign w:val="center"/>
            <w:hideMark/>
          </w:tcPr>
          <w:p w14:paraId="2332DB95"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Q1-2</w:t>
            </w:r>
          </w:p>
        </w:tc>
      </w:tr>
      <w:tr w:rsidR="00CC5F83" w:rsidRPr="00CC5F83" w14:paraId="7F074F20" w14:textId="77777777" w:rsidTr="00CC5F83">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D8A49B9"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Develop program and performance micro-trainings</w:t>
            </w:r>
          </w:p>
        </w:tc>
        <w:tc>
          <w:tcPr>
            <w:tcW w:w="3400" w:type="dxa"/>
            <w:tcBorders>
              <w:top w:val="nil"/>
              <w:left w:val="nil"/>
              <w:bottom w:val="single" w:sz="4" w:space="0" w:color="auto"/>
              <w:right w:val="single" w:sz="4" w:space="0" w:color="auto"/>
            </w:tcBorders>
            <w:shd w:val="clear" w:color="auto" w:fill="auto"/>
            <w:vAlign w:val="center"/>
            <w:hideMark/>
          </w:tcPr>
          <w:p w14:paraId="7D3B0F5A"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Micro-trainings completed and available on the website on WIOA Section 116</w:t>
            </w:r>
          </w:p>
        </w:tc>
        <w:tc>
          <w:tcPr>
            <w:tcW w:w="2420" w:type="dxa"/>
            <w:tcBorders>
              <w:top w:val="nil"/>
              <w:left w:val="nil"/>
              <w:bottom w:val="single" w:sz="4" w:space="0" w:color="auto"/>
              <w:right w:val="single" w:sz="4" w:space="0" w:color="auto"/>
            </w:tcBorders>
            <w:shd w:val="clear" w:color="auto" w:fill="auto"/>
            <w:vAlign w:val="center"/>
            <w:hideMark/>
          </w:tcPr>
          <w:p w14:paraId="5DC8E50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 in Q1-4</w:t>
            </w:r>
          </w:p>
        </w:tc>
      </w:tr>
      <w:tr w:rsidR="00CC5F83" w:rsidRPr="00CC5F83" w14:paraId="1CC59206" w14:textId="77777777" w:rsidTr="00CC5F83">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6737C0E"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 data quality and literacy training for VR</w:t>
            </w:r>
          </w:p>
        </w:tc>
        <w:tc>
          <w:tcPr>
            <w:tcW w:w="3400" w:type="dxa"/>
            <w:tcBorders>
              <w:top w:val="nil"/>
              <w:left w:val="nil"/>
              <w:bottom w:val="single" w:sz="4" w:space="0" w:color="auto"/>
              <w:right w:val="single" w:sz="4" w:space="0" w:color="auto"/>
            </w:tcBorders>
            <w:shd w:val="clear" w:color="auto" w:fill="auto"/>
            <w:vAlign w:val="center"/>
            <w:hideMark/>
          </w:tcPr>
          <w:p w14:paraId="276B01A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Completed training available on the website</w:t>
            </w:r>
          </w:p>
        </w:tc>
        <w:tc>
          <w:tcPr>
            <w:tcW w:w="2420" w:type="dxa"/>
            <w:tcBorders>
              <w:top w:val="nil"/>
              <w:left w:val="nil"/>
              <w:bottom w:val="single" w:sz="4" w:space="0" w:color="auto"/>
              <w:right w:val="single" w:sz="4" w:space="0" w:color="auto"/>
            </w:tcBorders>
            <w:shd w:val="clear" w:color="auto" w:fill="auto"/>
            <w:vAlign w:val="center"/>
            <w:hideMark/>
          </w:tcPr>
          <w:p w14:paraId="4F2A171D"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Q2</w:t>
            </w:r>
          </w:p>
        </w:tc>
      </w:tr>
      <w:tr w:rsidR="00CC5F83" w:rsidRPr="00CC5F83" w14:paraId="107282F4" w14:textId="77777777" w:rsidTr="00CC5F83">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27FA587"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Provide intensive TA and training on quality program and fiscal management</w:t>
            </w:r>
          </w:p>
        </w:tc>
        <w:tc>
          <w:tcPr>
            <w:tcW w:w="3400" w:type="dxa"/>
            <w:tcBorders>
              <w:top w:val="nil"/>
              <w:left w:val="nil"/>
              <w:bottom w:val="single" w:sz="4" w:space="0" w:color="auto"/>
              <w:right w:val="single" w:sz="4" w:space="0" w:color="auto"/>
            </w:tcBorders>
            <w:shd w:val="clear" w:color="auto" w:fill="auto"/>
            <w:vAlign w:val="center"/>
            <w:hideMark/>
          </w:tcPr>
          <w:p w14:paraId="55FE127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SWOTs conducted and ITAAs developed for 7 additional SVRAs</w:t>
            </w:r>
          </w:p>
        </w:tc>
        <w:tc>
          <w:tcPr>
            <w:tcW w:w="2420" w:type="dxa"/>
            <w:tcBorders>
              <w:top w:val="nil"/>
              <w:left w:val="nil"/>
              <w:bottom w:val="single" w:sz="4" w:space="0" w:color="auto"/>
              <w:right w:val="single" w:sz="4" w:space="0" w:color="auto"/>
            </w:tcBorders>
            <w:shd w:val="clear" w:color="auto" w:fill="auto"/>
            <w:vAlign w:val="center"/>
            <w:hideMark/>
          </w:tcPr>
          <w:p w14:paraId="0F176B0D"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Q4</w:t>
            </w:r>
          </w:p>
        </w:tc>
      </w:tr>
      <w:tr w:rsidR="00CC5F83" w:rsidRPr="00CC5F83" w14:paraId="76338AAC" w14:textId="77777777" w:rsidTr="001232D8">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68623600" w14:textId="77777777" w:rsidR="00CC5F83" w:rsidRPr="00CC5F83" w:rsidRDefault="00CC5F83" w:rsidP="001232D8">
            <w:pPr>
              <w:spacing w:after="0" w:line="240" w:lineRule="auto"/>
              <w:jc w:val="center"/>
              <w:rPr>
                <w:rFonts w:eastAsia="Times New Roman"/>
                <w:b/>
                <w:bCs/>
                <w:color w:val="FFFFFF"/>
              </w:rPr>
            </w:pPr>
            <w:r w:rsidRPr="00CC5F83">
              <w:rPr>
                <w:rFonts w:eastAsia="Times New Roman"/>
                <w:b/>
                <w:bCs/>
                <w:color w:val="FFFFFF"/>
              </w:rPr>
              <w:lastRenderedPageBreak/>
              <w:t>Activity</w:t>
            </w:r>
          </w:p>
        </w:tc>
        <w:tc>
          <w:tcPr>
            <w:tcW w:w="3400" w:type="dxa"/>
            <w:tcBorders>
              <w:top w:val="nil"/>
              <w:left w:val="nil"/>
              <w:bottom w:val="single" w:sz="4" w:space="0" w:color="auto"/>
              <w:right w:val="single" w:sz="4" w:space="0" w:color="auto"/>
            </w:tcBorders>
            <w:shd w:val="clear" w:color="000000" w:fill="C65911"/>
            <w:vAlign w:val="center"/>
            <w:hideMark/>
          </w:tcPr>
          <w:p w14:paraId="1ABE8A59" w14:textId="77777777" w:rsidR="00CC5F83" w:rsidRPr="00CC5F83" w:rsidRDefault="00CC5F83" w:rsidP="001232D8">
            <w:pPr>
              <w:spacing w:after="0" w:line="240" w:lineRule="auto"/>
              <w:jc w:val="center"/>
              <w:rPr>
                <w:rFonts w:eastAsia="Times New Roman"/>
                <w:b/>
                <w:bCs/>
                <w:color w:val="FFFFFF"/>
              </w:rPr>
            </w:pPr>
            <w:r w:rsidRPr="00CC5F83">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1ACE44D6" w14:textId="77777777" w:rsidR="00CC5F83" w:rsidRPr="00CC5F83" w:rsidRDefault="00CC5F83" w:rsidP="001232D8">
            <w:pPr>
              <w:spacing w:after="0" w:line="240" w:lineRule="auto"/>
              <w:jc w:val="center"/>
              <w:rPr>
                <w:rFonts w:eastAsia="Times New Roman"/>
                <w:b/>
                <w:bCs/>
                <w:color w:val="FFFFFF"/>
              </w:rPr>
            </w:pPr>
            <w:r w:rsidRPr="00CC5F83">
              <w:rPr>
                <w:rFonts w:eastAsia="Times New Roman"/>
                <w:b/>
                <w:bCs/>
                <w:color w:val="FFFFFF"/>
              </w:rPr>
              <w:t>Projected Completion</w:t>
            </w:r>
          </w:p>
        </w:tc>
      </w:tr>
      <w:tr w:rsidR="00CC5F83" w:rsidRPr="00CC5F83" w14:paraId="62715543" w14:textId="77777777" w:rsidTr="00CC5F83">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4168B15"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Conduct the SARA pilot projects in 3 agencies</w:t>
            </w:r>
          </w:p>
        </w:tc>
        <w:tc>
          <w:tcPr>
            <w:tcW w:w="3400" w:type="dxa"/>
            <w:tcBorders>
              <w:top w:val="nil"/>
              <w:left w:val="nil"/>
              <w:bottom w:val="single" w:sz="4" w:space="0" w:color="auto"/>
              <w:right w:val="single" w:sz="4" w:space="0" w:color="auto"/>
            </w:tcBorders>
            <w:shd w:val="clear" w:color="auto" w:fill="auto"/>
            <w:vAlign w:val="center"/>
            <w:hideMark/>
          </w:tcPr>
          <w:p w14:paraId="3FE26032"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Pilot started in 2 SVRAs by the end of Year 3</w:t>
            </w:r>
          </w:p>
        </w:tc>
        <w:tc>
          <w:tcPr>
            <w:tcW w:w="2420" w:type="dxa"/>
            <w:tcBorders>
              <w:top w:val="nil"/>
              <w:left w:val="nil"/>
              <w:bottom w:val="single" w:sz="4" w:space="0" w:color="auto"/>
              <w:right w:val="single" w:sz="4" w:space="0" w:color="auto"/>
            </w:tcBorders>
            <w:shd w:val="clear" w:color="auto" w:fill="auto"/>
            <w:vAlign w:val="center"/>
            <w:hideMark/>
          </w:tcPr>
          <w:p w14:paraId="6A914783"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Q4</w:t>
            </w:r>
          </w:p>
        </w:tc>
      </w:tr>
      <w:tr w:rsidR="00CC5F83" w:rsidRPr="00CC5F83" w14:paraId="074BA391" w14:textId="77777777" w:rsidTr="00CC5F83">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0E0E207"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Conduct the CRA pilot projects in 4 States</w:t>
            </w:r>
          </w:p>
        </w:tc>
        <w:tc>
          <w:tcPr>
            <w:tcW w:w="3400" w:type="dxa"/>
            <w:tcBorders>
              <w:top w:val="nil"/>
              <w:left w:val="nil"/>
              <w:bottom w:val="single" w:sz="4" w:space="0" w:color="auto"/>
              <w:right w:val="single" w:sz="4" w:space="0" w:color="auto"/>
            </w:tcBorders>
            <w:shd w:val="clear" w:color="auto" w:fill="auto"/>
            <w:vAlign w:val="center"/>
            <w:hideMark/>
          </w:tcPr>
          <w:p w14:paraId="3E4BF598"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 xml:space="preserve">Pilot started in 2SVRAs </w:t>
            </w:r>
            <w:proofErr w:type="spellStart"/>
            <w:r w:rsidRPr="00CC5F83">
              <w:rPr>
                <w:rFonts w:eastAsia="Times New Roman"/>
                <w:color w:val="000000"/>
              </w:rPr>
              <w:t>b</w:t>
            </w:r>
            <w:proofErr w:type="spellEnd"/>
            <w:r w:rsidRPr="00CC5F83">
              <w:rPr>
                <w:rFonts w:eastAsia="Times New Roman"/>
                <w:color w:val="000000"/>
              </w:rPr>
              <w:t xml:space="preserve"> the end of Year 3</w:t>
            </w:r>
          </w:p>
        </w:tc>
        <w:tc>
          <w:tcPr>
            <w:tcW w:w="2420" w:type="dxa"/>
            <w:tcBorders>
              <w:top w:val="nil"/>
              <w:left w:val="nil"/>
              <w:bottom w:val="single" w:sz="4" w:space="0" w:color="auto"/>
              <w:right w:val="single" w:sz="4" w:space="0" w:color="auto"/>
            </w:tcBorders>
            <w:shd w:val="clear" w:color="auto" w:fill="auto"/>
            <w:vAlign w:val="center"/>
            <w:hideMark/>
          </w:tcPr>
          <w:p w14:paraId="031993E6"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Q4</w:t>
            </w:r>
          </w:p>
        </w:tc>
      </w:tr>
      <w:tr w:rsidR="00CC5F83" w:rsidRPr="00CC5F83" w14:paraId="41797690" w14:textId="77777777" w:rsidTr="00CC5F83">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BCEB051"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Conduct the EFSC pilot projects in 4 States</w:t>
            </w:r>
          </w:p>
        </w:tc>
        <w:tc>
          <w:tcPr>
            <w:tcW w:w="3400" w:type="dxa"/>
            <w:tcBorders>
              <w:top w:val="nil"/>
              <w:left w:val="nil"/>
              <w:bottom w:val="single" w:sz="4" w:space="0" w:color="auto"/>
              <w:right w:val="single" w:sz="4" w:space="0" w:color="auto"/>
            </w:tcBorders>
            <w:shd w:val="clear" w:color="auto" w:fill="auto"/>
            <w:vAlign w:val="center"/>
            <w:hideMark/>
          </w:tcPr>
          <w:p w14:paraId="434EFE9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Pilot started in 3 SVRAs by the end of Year 3</w:t>
            </w:r>
          </w:p>
        </w:tc>
        <w:tc>
          <w:tcPr>
            <w:tcW w:w="2420" w:type="dxa"/>
            <w:tcBorders>
              <w:top w:val="nil"/>
              <w:left w:val="nil"/>
              <w:bottom w:val="single" w:sz="4" w:space="0" w:color="auto"/>
              <w:right w:val="single" w:sz="4" w:space="0" w:color="auto"/>
            </w:tcBorders>
            <w:shd w:val="clear" w:color="auto" w:fill="auto"/>
            <w:vAlign w:val="center"/>
            <w:hideMark/>
          </w:tcPr>
          <w:p w14:paraId="4888C1A3"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Q4</w:t>
            </w:r>
          </w:p>
        </w:tc>
      </w:tr>
      <w:tr w:rsidR="00CC5F83" w:rsidRPr="00CC5F83" w14:paraId="2F649CDC" w14:textId="77777777" w:rsidTr="00CC5F83">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6BC63ED0" w14:textId="77777777" w:rsidR="00CC5F83" w:rsidRPr="00CC5F83" w:rsidRDefault="00CC5F83" w:rsidP="00CC5F83">
            <w:pPr>
              <w:spacing w:after="0" w:line="240" w:lineRule="auto"/>
              <w:rPr>
                <w:rFonts w:eastAsia="Times New Roman"/>
                <w:b/>
                <w:bCs/>
                <w:color w:val="000000"/>
              </w:rPr>
            </w:pPr>
            <w:r w:rsidRPr="00CC5F83">
              <w:rPr>
                <w:rFonts w:eastAsia="Times New Roman"/>
                <w:b/>
                <w:bCs/>
                <w:color w:val="000000"/>
              </w:rPr>
              <w:t>Domain: Coordination and Dissemination</w:t>
            </w:r>
          </w:p>
        </w:tc>
      </w:tr>
      <w:tr w:rsidR="00CC5F83" w:rsidRPr="00CC5F83" w14:paraId="164493C4" w14:textId="77777777" w:rsidTr="00CC5F83">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41E281F5"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29A06C45"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0A666BDC"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Projected Completion</w:t>
            </w:r>
          </w:p>
        </w:tc>
      </w:tr>
      <w:tr w:rsidR="00CC5F83" w:rsidRPr="00CC5F83" w14:paraId="2E417F19" w14:textId="77777777" w:rsidTr="00CC5F83">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FE58C8F"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Collaborate with VRTAC-QE and other TACs to support learning and KD and KT.</w:t>
            </w:r>
          </w:p>
        </w:tc>
        <w:tc>
          <w:tcPr>
            <w:tcW w:w="3400" w:type="dxa"/>
            <w:tcBorders>
              <w:top w:val="nil"/>
              <w:left w:val="nil"/>
              <w:bottom w:val="single" w:sz="4" w:space="0" w:color="auto"/>
              <w:right w:val="single" w:sz="4" w:space="0" w:color="auto"/>
            </w:tcBorders>
            <w:shd w:val="clear" w:color="auto" w:fill="auto"/>
            <w:vAlign w:val="center"/>
            <w:hideMark/>
          </w:tcPr>
          <w:p w14:paraId="044E394C" w14:textId="49C9647E" w:rsidR="00CC5F83" w:rsidRPr="00CC5F83" w:rsidRDefault="00CC5F83" w:rsidP="00CC5F83">
            <w:pPr>
              <w:spacing w:after="0" w:line="240" w:lineRule="auto"/>
              <w:rPr>
                <w:rFonts w:eastAsia="Times New Roman"/>
                <w:color w:val="000000"/>
              </w:rPr>
            </w:pPr>
            <w:r w:rsidRPr="00CC5F83">
              <w:rPr>
                <w:rFonts w:eastAsia="Times New Roman"/>
                <w:color w:val="000000"/>
              </w:rPr>
              <w:t>Number of TACs and other projects contacted and engaged</w:t>
            </w:r>
          </w:p>
        </w:tc>
        <w:tc>
          <w:tcPr>
            <w:tcW w:w="2420" w:type="dxa"/>
            <w:tcBorders>
              <w:top w:val="nil"/>
              <w:left w:val="nil"/>
              <w:bottom w:val="single" w:sz="4" w:space="0" w:color="auto"/>
              <w:right w:val="single" w:sz="4" w:space="0" w:color="auto"/>
            </w:tcBorders>
            <w:shd w:val="clear" w:color="auto" w:fill="auto"/>
            <w:vAlign w:val="center"/>
            <w:hideMark/>
          </w:tcPr>
          <w:p w14:paraId="47F8C8F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w:t>
            </w:r>
          </w:p>
        </w:tc>
      </w:tr>
      <w:tr w:rsidR="00CC5F83" w:rsidRPr="00CC5F83" w14:paraId="20BE134E" w14:textId="77777777" w:rsidTr="00CC5F83">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1B5A8BE"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Conference presentations with special focus on Y5</w:t>
            </w:r>
          </w:p>
        </w:tc>
        <w:tc>
          <w:tcPr>
            <w:tcW w:w="3400" w:type="dxa"/>
            <w:tcBorders>
              <w:top w:val="nil"/>
              <w:left w:val="nil"/>
              <w:bottom w:val="single" w:sz="4" w:space="0" w:color="auto"/>
              <w:right w:val="single" w:sz="4" w:space="0" w:color="auto"/>
            </w:tcBorders>
            <w:shd w:val="clear" w:color="auto" w:fill="auto"/>
            <w:vAlign w:val="center"/>
            <w:hideMark/>
          </w:tcPr>
          <w:p w14:paraId="51173F83"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Completed presentations</w:t>
            </w:r>
          </w:p>
        </w:tc>
        <w:tc>
          <w:tcPr>
            <w:tcW w:w="2420" w:type="dxa"/>
            <w:tcBorders>
              <w:top w:val="nil"/>
              <w:left w:val="nil"/>
              <w:bottom w:val="single" w:sz="4" w:space="0" w:color="auto"/>
              <w:right w:val="single" w:sz="4" w:space="0" w:color="auto"/>
            </w:tcBorders>
            <w:shd w:val="clear" w:color="auto" w:fill="auto"/>
            <w:vAlign w:val="center"/>
            <w:hideMark/>
          </w:tcPr>
          <w:p w14:paraId="03EC712A"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 throughout the year</w:t>
            </w:r>
          </w:p>
        </w:tc>
      </w:tr>
      <w:tr w:rsidR="00CC5F83" w:rsidRPr="00CC5F83" w14:paraId="48C15671" w14:textId="77777777" w:rsidTr="00CC5F83">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36F74FE8" w14:textId="77777777" w:rsidR="00CC5F83" w:rsidRPr="00CC5F83" w:rsidRDefault="00CC5F83" w:rsidP="00CC5F83">
            <w:pPr>
              <w:spacing w:after="0" w:line="240" w:lineRule="auto"/>
              <w:rPr>
                <w:rFonts w:eastAsia="Times New Roman"/>
                <w:b/>
                <w:bCs/>
                <w:color w:val="000000"/>
              </w:rPr>
            </w:pPr>
            <w:r w:rsidRPr="00CC5F83">
              <w:rPr>
                <w:rFonts w:eastAsia="Times New Roman"/>
                <w:b/>
                <w:bCs/>
                <w:color w:val="000000"/>
              </w:rPr>
              <w:t>Domain: Program Evaluation</w:t>
            </w:r>
          </w:p>
        </w:tc>
      </w:tr>
      <w:tr w:rsidR="00CC5F83" w:rsidRPr="00CC5F83" w14:paraId="3FC6BD35" w14:textId="77777777" w:rsidTr="00CC5F83">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3C1DFAC1"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65297F73"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040B479B" w14:textId="77777777" w:rsidR="00CC5F83" w:rsidRPr="00CC5F83" w:rsidRDefault="00CC5F83" w:rsidP="00CC5F83">
            <w:pPr>
              <w:spacing w:after="0" w:line="240" w:lineRule="auto"/>
              <w:jc w:val="center"/>
              <w:rPr>
                <w:rFonts w:eastAsia="Times New Roman"/>
                <w:b/>
                <w:bCs/>
                <w:color w:val="FFFFFF"/>
              </w:rPr>
            </w:pPr>
            <w:r w:rsidRPr="00CC5F83">
              <w:rPr>
                <w:rFonts w:eastAsia="Times New Roman"/>
                <w:b/>
                <w:bCs/>
                <w:color w:val="FFFFFF"/>
              </w:rPr>
              <w:t>Projected Completion</w:t>
            </w:r>
          </w:p>
        </w:tc>
      </w:tr>
      <w:tr w:rsidR="00CC5F83" w:rsidRPr="00CC5F83" w14:paraId="029BAC92" w14:textId="77777777" w:rsidTr="00CC5F83">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6556110"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 PE using quant. and qual. methods</w:t>
            </w:r>
          </w:p>
        </w:tc>
        <w:tc>
          <w:tcPr>
            <w:tcW w:w="3400" w:type="dxa"/>
            <w:tcBorders>
              <w:top w:val="nil"/>
              <w:left w:val="nil"/>
              <w:bottom w:val="single" w:sz="4" w:space="0" w:color="auto"/>
              <w:right w:val="single" w:sz="4" w:space="0" w:color="auto"/>
            </w:tcBorders>
            <w:shd w:val="clear" w:color="auto" w:fill="auto"/>
            <w:vAlign w:val="center"/>
            <w:hideMark/>
          </w:tcPr>
          <w:p w14:paraId="54796F3D"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Completed eval. methods</w:t>
            </w:r>
          </w:p>
        </w:tc>
        <w:tc>
          <w:tcPr>
            <w:tcW w:w="2420" w:type="dxa"/>
            <w:tcBorders>
              <w:top w:val="nil"/>
              <w:left w:val="nil"/>
              <w:bottom w:val="single" w:sz="4" w:space="0" w:color="auto"/>
              <w:right w:val="single" w:sz="4" w:space="0" w:color="auto"/>
            </w:tcBorders>
            <w:shd w:val="clear" w:color="auto" w:fill="auto"/>
            <w:vAlign w:val="center"/>
            <w:hideMark/>
          </w:tcPr>
          <w:p w14:paraId="51AD5B7D" w14:textId="77777777" w:rsidR="00CC5F83" w:rsidRPr="00CC5F83" w:rsidRDefault="00CC5F83" w:rsidP="00CC5F83">
            <w:pPr>
              <w:spacing w:after="0" w:line="240" w:lineRule="auto"/>
              <w:rPr>
                <w:rFonts w:eastAsia="Times New Roman"/>
                <w:color w:val="000000"/>
              </w:rPr>
            </w:pPr>
            <w:r w:rsidRPr="00CC5F83">
              <w:rPr>
                <w:rFonts w:eastAsia="Times New Roman"/>
                <w:color w:val="000000"/>
              </w:rPr>
              <w:t>Ongoing</w:t>
            </w:r>
          </w:p>
        </w:tc>
      </w:tr>
    </w:tbl>
    <w:p w14:paraId="48D3F0A2" w14:textId="1BF8F8E3" w:rsidR="00CC5F83" w:rsidRPr="00CC5F83" w:rsidRDefault="00CC5F83" w:rsidP="00CC5F83">
      <w:pPr>
        <w:pStyle w:val="NoSpacing"/>
      </w:pPr>
    </w:p>
    <w:p w14:paraId="3970D4A9" w14:textId="77777777" w:rsidR="00CC5F83" w:rsidRPr="00CC5F83" w:rsidRDefault="00CC5F83" w:rsidP="00CC5F83">
      <w:pPr>
        <w:pStyle w:val="NoSpacing"/>
        <w:rPr>
          <w:i/>
          <w:iCs/>
        </w:rPr>
      </w:pPr>
    </w:p>
    <w:sectPr w:rsidR="00CC5F83" w:rsidRPr="00CC5F83" w:rsidSect="0068720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581B" w14:textId="77777777" w:rsidR="00EA1FB5" w:rsidRDefault="00EA1FB5" w:rsidP="006E4029">
      <w:pPr>
        <w:spacing w:after="0" w:line="240" w:lineRule="auto"/>
      </w:pPr>
      <w:r>
        <w:separator/>
      </w:r>
    </w:p>
  </w:endnote>
  <w:endnote w:type="continuationSeparator" w:id="0">
    <w:p w14:paraId="04995E5D" w14:textId="77777777" w:rsidR="00EA1FB5" w:rsidRDefault="00EA1FB5" w:rsidP="006E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8137" w14:textId="77777777" w:rsidR="006819E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B8B" w14:textId="77777777" w:rsidR="006819E5" w:rsidRDefault="00615183">
    <w:pPr>
      <w:pStyle w:val="Footer"/>
      <w:tabs>
        <w:tab w:val="right" w:pos="14220"/>
      </w:tabs>
      <w:rPr>
        <w:sz w:val="18"/>
      </w:rPr>
    </w:pPr>
    <w:r>
      <w:rPr>
        <w:sz w:val="18"/>
      </w:rPr>
      <w:t>ED 524B</w:t>
    </w:r>
    <w:r>
      <w:rPr>
        <w:sz w:val="18"/>
      </w:rPr>
      <w:tab/>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9285" w14:textId="77777777" w:rsidR="006819E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87A0" w14:textId="77777777" w:rsidR="00EA1FB5" w:rsidRDefault="00EA1FB5" w:rsidP="006E4029">
      <w:pPr>
        <w:spacing w:after="0" w:line="240" w:lineRule="auto"/>
      </w:pPr>
      <w:r>
        <w:separator/>
      </w:r>
    </w:p>
  </w:footnote>
  <w:footnote w:type="continuationSeparator" w:id="0">
    <w:p w14:paraId="0B7633D9" w14:textId="77777777" w:rsidR="00EA1FB5" w:rsidRDefault="00EA1FB5" w:rsidP="006E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E8D6" w14:textId="77777777" w:rsidR="006819E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856D" w14:textId="77777777" w:rsidR="006819E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6C3" w14:textId="77777777" w:rsidR="006819E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79F"/>
    <w:multiLevelType w:val="hybridMultilevel"/>
    <w:tmpl w:val="A45C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F42B5"/>
    <w:multiLevelType w:val="hybridMultilevel"/>
    <w:tmpl w:val="E5AEDBC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DA12D2"/>
    <w:multiLevelType w:val="hybridMultilevel"/>
    <w:tmpl w:val="052E2B7A"/>
    <w:lvl w:ilvl="0" w:tplc="E1787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834FD"/>
    <w:multiLevelType w:val="hybridMultilevel"/>
    <w:tmpl w:val="F22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20D9"/>
    <w:multiLevelType w:val="hybridMultilevel"/>
    <w:tmpl w:val="D2F22356"/>
    <w:lvl w:ilvl="0" w:tplc="6E6E0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92D79"/>
    <w:multiLevelType w:val="hybridMultilevel"/>
    <w:tmpl w:val="74845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E4ED4"/>
    <w:multiLevelType w:val="hybridMultilevel"/>
    <w:tmpl w:val="B94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F34B1"/>
    <w:multiLevelType w:val="multilevel"/>
    <w:tmpl w:val="41B8A19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D73242"/>
    <w:multiLevelType w:val="hybridMultilevel"/>
    <w:tmpl w:val="7BA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81AC2"/>
    <w:multiLevelType w:val="hybridMultilevel"/>
    <w:tmpl w:val="8726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F9A"/>
    <w:multiLevelType w:val="hybridMultilevel"/>
    <w:tmpl w:val="6B9A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12944"/>
    <w:multiLevelType w:val="multilevel"/>
    <w:tmpl w:val="A5624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9365A"/>
    <w:multiLevelType w:val="hybridMultilevel"/>
    <w:tmpl w:val="B7A60074"/>
    <w:lvl w:ilvl="0" w:tplc="3F9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56976"/>
    <w:multiLevelType w:val="hybridMultilevel"/>
    <w:tmpl w:val="2FE6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D06912"/>
    <w:multiLevelType w:val="hybridMultilevel"/>
    <w:tmpl w:val="2B68B1A4"/>
    <w:lvl w:ilvl="0" w:tplc="92DC9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E7E31"/>
    <w:multiLevelType w:val="hybridMultilevel"/>
    <w:tmpl w:val="7BA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A5E0B"/>
    <w:multiLevelType w:val="hybridMultilevel"/>
    <w:tmpl w:val="50E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983053">
    <w:abstractNumId w:val="7"/>
  </w:num>
  <w:num w:numId="2" w16cid:durableId="648443411">
    <w:abstractNumId w:val="8"/>
  </w:num>
  <w:num w:numId="3" w16cid:durableId="970285887">
    <w:abstractNumId w:val="13"/>
  </w:num>
  <w:num w:numId="4" w16cid:durableId="992873752">
    <w:abstractNumId w:val="10"/>
  </w:num>
  <w:num w:numId="5" w16cid:durableId="904880048">
    <w:abstractNumId w:val="4"/>
  </w:num>
  <w:num w:numId="6" w16cid:durableId="1431202199">
    <w:abstractNumId w:val="15"/>
  </w:num>
  <w:num w:numId="7" w16cid:durableId="977420868">
    <w:abstractNumId w:val="3"/>
  </w:num>
  <w:num w:numId="8" w16cid:durableId="2127116012">
    <w:abstractNumId w:val="2"/>
  </w:num>
  <w:num w:numId="9" w16cid:durableId="782269112">
    <w:abstractNumId w:val="0"/>
  </w:num>
  <w:num w:numId="10" w16cid:durableId="1107893073">
    <w:abstractNumId w:val="9"/>
  </w:num>
  <w:num w:numId="11" w16cid:durableId="731926930">
    <w:abstractNumId w:val="5"/>
  </w:num>
  <w:num w:numId="12" w16cid:durableId="1047027779">
    <w:abstractNumId w:val="11"/>
  </w:num>
  <w:num w:numId="13" w16cid:durableId="744184156">
    <w:abstractNumId w:val="6"/>
  </w:num>
  <w:num w:numId="14" w16cid:durableId="1498960760">
    <w:abstractNumId w:val="1"/>
  </w:num>
  <w:num w:numId="15" w16cid:durableId="1417481534">
    <w:abstractNumId w:val="14"/>
  </w:num>
  <w:num w:numId="16" w16cid:durableId="509561625">
    <w:abstractNumId w:val="16"/>
  </w:num>
  <w:num w:numId="17" w16cid:durableId="90341405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95"/>
    <w:rsid w:val="000142D8"/>
    <w:rsid w:val="00042D24"/>
    <w:rsid w:val="00044209"/>
    <w:rsid w:val="00064BD7"/>
    <w:rsid w:val="000727BF"/>
    <w:rsid w:val="0009254C"/>
    <w:rsid w:val="000A5898"/>
    <w:rsid w:val="000D1AA7"/>
    <w:rsid w:val="000F62AC"/>
    <w:rsid w:val="001061BF"/>
    <w:rsid w:val="001126BD"/>
    <w:rsid w:val="001309A3"/>
    <w:rsid w:val="001329DF"/>
    <w:rsid w:val="00136837"/>
    <w:rsid w:val="0013757D"/>
    <w:rsid w:val="00140A9D"/>
    <w:rsid w:val="00153242"/>
    <w:rsid w:val="00180757"/>
    <w:rsid w:val="001951B3"/>
    <w:rsid w:val="001A4905"/>
    <w:rsid w:val="001D016D"/>
    <w:rsid w:val="001D44A6"/>
    <w:rsid w:val="001D5F29"/>
    <w:rsid w:val="001E3D90"/>
    <w:rsid w:val="001E6962"/>
    <w:rsid w:val="001F00C0"/>
    <w:rsid w:val="001F57D8"/>
    <w:rsid w:val="00202576"/>
    <w:rsid w:val="00222120"/>
    <w:rsid w:val="00226A3F"/>
    <w:rsid w:val="00240C10"/>
    <w:rsid w:val="00250466"/>
    <w:rsid w:val="0025103F"/>
    <w:rsid w:val="00277D70"/>
    <w:rsid w:val="00283BBB"/>
    <w:rsid w:val="002868DC"/>
    <w:rsid w:val="00292209"/>
    <w:rsid w:val="002A18A4"/>
    <w:rsid w:val="002B2AA7"/>
    <w:rsid w:val="002C2CD0"/>
    <w:rsid w:val="002C5EDC"/>
    <w:rsid w:val="002D41F7"/>
    <w:rsid w:val="002F3FE4"/>
    <w:rsid w:val="0033438C"/>
    <w:rsid w:val="003427F8"/>
    <w:rsid w:val="003457AC"/>
    <w:rsid w:val="00346B7A"/>
    <w:rsid w:val="00351AB0"/>
    <w:rsid w:val="00354BDD"/>
    <w:rsid w:val="00361B85"/>
    <w:rsid w:val="003734A3"/>
    <w:rsid w:val="003955F7"/>
    <w:rsid w:val="003B1D7D"/>
    <w:rsid w:val="003B6D43"/>
    <w:rsid w:val="003C3DDE"/>
    <w:rsid w:val="003D16F1"/>
    <w:rsid w:val="003E2CCC"/>
    <w:rsid w:val="003E6C16"/>
    <w:rsid w:val="003E79F0"/>
    <w:rsid w:val="00414E50"/>
    <w:rsid w:val="00416C8C"/>
    <w:rsid w:val="004207B1"/>
    <w:rsid w:val="00420C3E"/>
    <w:rsid w:val="00437C17"/>
    <w:rsid w:val="004445BF"/>
    <w:rsid w:val="0045221A"/>
    <w:rsid w:val="00456F01"/>
    <w:rsid w:val="00465CBA"/>
    <w:rsid w:val="00481833"/>
    <w:rsid w:val="0048370B"/>
    <w:rsid w:val="004A591C"/>
    <w:rsid w:val="004D63F9"/>
    <w:rsid w:val="004E0A46"/>
    <w:rsid w:val="00512247"/>
    <w:rsid w:val="00515C76"/>
    <w:rsid w:val="00523EA3"/>
    <w:rsid w:val="00535FCF"/>
    <w:rsid w:val="00552E03"/>
    <w:rsid w:val="00577894"/>
    <w:rsid w:val="005813DE"/>
    <w:rsid w:val="00587DBA"/>
    <w:rsid w:val="0059180E"/>
    <w:rsid w:val="0059556A"/>
    <w:rsid w:val="005B09DC"/>
    <w:rsid w:val="005B7AE0"/>
    <w:rsid w:val="005C397D"/>
    <w:rsid w:val="005C5959"/>
    <w:rsid w:val="005D694B"/>
    <w:rsid w:val="005E32AB"/>
    <w:rsid w:val="005E46DD"/>
    <w:rsid w:val="005F4ACB"/>
    <w:rsid w:val="005F759E"/>
    <w:rsid w:val="006039A1"/>
    <w:rsid w:val="00615183"/>
    <w:rsid w:val="00632228"/>
    <w:rsid w:val="00633039"/>
    <w:rsid w:val="0064250D"/>
    <w:rsid w:val="0064506B"/>
    <w:rsid w:val="00655344"/>
    <w:rsid w:val="00681716"/>
    <w:rsid w:val="00687206"/>
    <w:rsid w:val="006A0AAD"/>
    <w:rsid w:val="006B2F4A"/>
    <w:rsid w:val="006C1C02"/>
    <w:rsid w:val="006C24BB"/>
    <w:rsid w:val="006C4AB2"/>
    <w:rsid w:val="006C6D1C"/>
    <w:rsid w:val="006D76FE"/>
    <w:rsid w:val="006E4029"/>
    <w:rsid w:val="006E6A05"/>
    <w:rsid w:val="00727472"/>
    <w:rsid w:val="00731346"/>
    <w:rsid w:val="007369AF"/>
    <w:rsid w:val="00743097"/>
    <w:rsid w:val="0075008B"/>
    <w:rsid w:val="00752109"/>
    <w:rsid w:val="00756FD7"/>
    <w:rsid w:val="007600EA"/>
    <w:rsid w:val="007663F2"/>
    <w:rsid w:val="0078233D"/>
    <w:rsid w:val="00794CA9"/>
    <w:rsid w:val="007A3C6F"/>
    <w:rsid w:val="007C07E5"/>
    <w:rsid w:val="007C279B"/>
    <w:rsid w:val="007D1EC6"/>
    <w:rsid w:val="007D3111"/>
    <w:rsid w:val="007D3F23"/>
    <w:rsid w:val="007D76D4"/>
    <w:rsid w:val="007E1C41"/>
    <w:rsid w:val="00804A84"/>
    <w:rsid w:val="008334A4"/>
    <w:rsid w:val="008477C2"/>
    <w:rsid w:val="00862991"/>
    <w:rsid w:val="0086661D"/>
    <w:rsid w:val="008716EA"/>
    <w:rsid w:val="008800A9"/>
    <w:rsid w:val="00895988"/>
    <w:rsid w:val="008A3695"/>
    <w:rsid w:val="008B1488"/>
    <w:rsid w:val="008D0A69"/>
    <w:rsid w:val="008E5354"/>
    <w:rsid w:val="008E5946"/>
    <w:rsid w:val="008F29E3"/>
    <w:rsid w:val="008F2CF6"/>
    <w:rsid w:val="008F5532"/>
    <w:rsid w:val="009422A2"/>
    <w:rsid w:val="00946DDC"/>
    <w:rsid w:val="0097401E"/>
    <w:rsid w:val="00985060"/>
    <w:rsid w:val="0099777B"/>
    <w:rsid w:val="009A0D0E"/>
    <w:rsid w:val="009A2FCF"/>
    <w:rsid w:val="009A787F"/>
    <w:rsid w:val="009B7E91"/>
    <w:rsid w:val="009C6E5E"/>
    <w:rsid w:val="00A42754"/>
    <w:rsid w:val="00A95591"/>
    <w:rsid w:val="00AA4CA9"/>
    <w:rsid w:val="00AB13F1"/>
    <w:rsid w:val="00AC4489"/>
    <w:rsid w:val="00AD59AC"/>
    <w:rsid w:val="00AF5BF7"/>
    <w:rsid w:val="00AF61A5"/>
    <w:rsid w:val="00B2046A"/>
    <w:rsid w:val="00B46F0D"/>
    <w:rsid w:val="00B55339"/>
    <w:rsid w:val="00B678AA"/>
    <w:rsid w:val="00B74E10"/>
    <w:rsid w:val="00B80856"/>
    <w:rsid w:val="00B80B71"/>
    <w:rsid w:val="00BB17D2"/>
    <w:rsid w:val="00BB2C72"/>
    <w:rsid w:val="00BC0E25"/>
    <w:rsid w:val="00BD5D86"/>
    <w:rsid w:val="00C04764"/>
    <w:rsid w:val="00C055F6"/>
    <w:rsid w:val="00C06D21"/>
    <w:rsid w:val="00C43387"/>
    <w:rsid w:val="00C450D9"/>
    <w:rsid w:val="00C6004E"/>
    <w:rsid w:val="00C704E2"/>
    <w:rsid w:val="00CA40BF"/>
    <w:rsid w:val="00CC0026"/>
    <w:rsid w:val="00CC00B0"/>
    <w:rsid w:val="00CC5F83"/>
    <w:rsid w:val="00CF003C"/>
    <w:rsid w:val="00D015B0"/>
    <w:rsid w:val="00D4197A"/>
    <w:rsid w:val="00D47436"/>
    <w:rsid w:val="00D603D4"/>
    <w:rsid w:val="00D70F0B"/>
    <w:rsid w:val="00D71D16"/>
    <w:rsid w:val="00D725C7"/>
    <w:rsid w:val="00D8348E"/>
    <w:rsid w:val="00D943AB"/>
    <w:rsid w:val="00DA4AF2"/>
    <w:rsid w:val="00DA54C9"/>
    <w:rsid w:val="00DB657A"/>
    <w:rsid w:val="00DC0625"/>
    <w:rsid w:val="00DC7925"/>
    <w:rsid w:val="00E0318E"/>
    <w:rsid w:val="00E05AC9"/>
    <w:rsid w:val="00E1464F"/>
    <w:rsid w:val="00E736B6"/>
    <w:rsid w:val="00E84CD1"/>
    <w:rsid w:val="00E913F4"/>
    <w:rsid w:val="00E94C3A"/>
    <w:rsid w:val="00E954B6"/>
    <w:rsid w:val="00EA0734"/>
    <w:rsid w:val="00EA1FB5"/>
    <w:rsid w:val="00EA4AAA"/>
    <w:rsid w:val="00EF46EA"/>
    <w:rsid w:val="00F35BAE"/>
    <w:rsid w:val="00F374F3"/>
    <w:rsid w:val="00F41A7A"/>
    <w:rsid w:val="00F50D15"/>
    <w:rsid w:val="00F63AB3"/>
    <w:rsid w:val="00FA7C93"/>
    <w:rsid w:val="00FB025B"/>
    <w:rsid w:val="00FC4ECB"/>
    <w:rsid w:val="00FC7941"/>
    <w:rsid w:val="00FD1E0E"/>
    <w:rsid w:val="00FD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2B1F6"/>
  <w15:docId w15:val="{FF907B06-E4C8-4382-83B5-E66B10A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D47436"/>
    <w:pPr>
      <w:shd w:val="clear" w:color="auto" w:fill="E2EFD9" w:themeFill="accent6" w:themeFillTint="33"/>
      <w:jc w:val="center"/>
      <w:outlineLvl w:val="0"/>
    </w:pPr>
    <w:rPr>
      <w:b/>
      <w:sz w:val="28"/>
    </w:rPr>
  </w:style>
  <w:style w:type="paragraph" w:styleId="Heading2">
    <w:name w:val="heading 2"/>
    <w:basedOn w:val="Heading1"/>
    <w:next w:val="Normal"/>
    <w:link w:val="Heading2Char"/>
    <w:uiPriority w:val="9"/>
    <w:unhideWhenUsed/>
    <w:qFormat/>
    <w:rsid w:val="00136837"/>
    <w:pPr>
      <w:shd w:val="clear" w:color="auto" w:fill="C5E0B3" w:themeFill="accent6" w:themeFillTint="66"/>
      <w:jc w:val="left"/>
      <w:outlineLvl w:val="1"/>
    </w:pPr>
  </w:style>
  <w:style w:type="paragraph" w:styleId="Heading3">
    <w:name w:val="heading 3"/>
    <w:basedOn w:val="Normal"/>
    <w:next w:val="Normal"/>
    <w:link w:val="Heading3Char"/>
    <w:uiPriority w:val="9"/>
    <w:semiHidden/>
    <w:unhideWhenUsed/>
    <w:qFormat/>
    <w:rsid w:val="002F3FE4"/>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F3F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B2F4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6E40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695"/>
    <w:pPr>
      <w:spacing w:after="0" w:line="240" w:lineRule="auto"/>
    </w:pPr>
  </w:style>
  <w:style w:type="paragraph" w:styleId="ListParagraph">
    <w:name w:val="List Paragraph"/>
    <w:basedOn w:val="Normal"/>
    <w:uiPriority w:val="34"/>
    <w:qFormat/>
    <w:rsid w:val="00DC7925"/>
    <w:pPr>
      <w:ind w:left="720"/>
      <w:contextualSpacing/>
    </w:pPr>
  </w:style>
  <w:style w:type="character" w:customStyle="1" w:styleId="NoSpacingChar">
    <w:name w:val="No Spacing Char"/>
    <w:basedOn w:val="DefaultParagraphFont"/>
    <w:link w:val="NoSpacing"/>
    <w:uiPriority w:val="1"/>
    <w:rsid w:val="0045221A"/>
  </w:style>
  <w:style w:type="character" w:customStyle="1" w:styleId="Heading1Char">
    <w:name w:val="Heading 1 Char"/>
    <w:basedOn w:val="DefaultParagraphFont"/>
    <w:link w:val="Heading1"/>
    <w:uiPriority w:val="9"/>
    <w:rsid w:val="00D47436"/>
    <w:rPr>
      <w:b/>
      <w:sz w:val="28"/>
      <w:shd w:val="clear" w:color="auto" w:fill="E2EFD9" w:themeFill="accent6" w:themeFillTint="33"/>
    </w:rPr>
  </w:style>
  <w:style w:type="character" w:styleId="Hyperlink">
    <w:name w:val="Hyperlink"/>
    <w:basedOn w:val="DefaultParagraphFont"/>
    <w:uiPriority w:val="99"/>
    <w:unhideWhenUsed/>
    <w:rsid w:val="009B7E91"/>
    <w:rPr>
      <w:color w:val="0563C1" w:themeColor="hyperlink"/>
      <w:u w:val="single"/>
    </w:rPr>
  </w:style>
  <w:style w:type="paragraph" w:styleId="Title">
    <w:name w:val="Title"/>
    <w:basedOn w:val="Normal"/>
    <w:next w:val="Normal"/>
    <w:link w:val="TitleChar"/>
    <w:uiPriority w:val="10"/>
    <w:qFormat/>
    <w:rsid w:val="009B7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E9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E91"/>
    <w:pPr>
      <w:spacing w:after="0" w:line="240" w:lineRule="auto"/>
    </w:pPr>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B2F4A"/>
    <w:rPr>
      <w:rFonts w:asciiTheme="majorHAnsi" w:eastAsiaTheme="majorEastAsia" w:hAnsiTheme="majorHAnsi" w:cstheme="majorBidi"/>
      <w:i/>
      <w:iCs/>
      <w:color w:val="1F4D78" w:themeColor="accent1" w:themeShade="7F"/>
    </w:rPr>
  </w:style>
  <w:style w:type="paragraph" w:styleId="NormalWeb">
    <w:name w:val="Normal (Web)"/>
    <w:basedOn w:val="Normal"/>
    <w:uiPriority w:val="99"/>
    <w:semiHidden/>
    <w:unhideWhenUsed/>
    <w:rsid w:val="006B2F4A"/>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8B1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CC"/>
    <w:rPr>
      <w:sz w:val="18"/>
      <w:szCs w:val="18"/>
    </w:rPr>
  </w:style>
  <w:style w:type="paragraph" w:styleId="CommentText">
    <w:name w:val="annotation text"/>
    <w:basedOn w:val="Normal"/>
    <w:link w:val="CommentTextChar"/>
    <w:uiPriority w:val="99"/>
    <w:semiHidden/>
    <w:unhideWhenUsed/>
    <w:rsid w:val="003E2CCC"/>
    <w:pPr>
      <w:spacing w:line="240" w:lineRule="auto"/>
    </w:pPr>
  </w:style>
  <w:style w:type="character" w:customStyle="1" w:styleId="CommentTextChar">
    <w:name w:val="Comment Text Char"/>
    <w:basedOn w:val="DefaultParagraphFont"/>
    <w:link w:val="CommentText"/>
    <w:uiPriority w:val="99"/>
    <w:semiHidden/>
    <w:rsid w:val="003E2CCC"/>
  </w:style>
  <w:style w:type="paragraph" w:styleId="CommentSubject">
    <w:name w:val="annotation subject"/>
    <w:basedOn w:val="CommentText"/>
    <w:next w:val="CommentText"/>
    <w:link w:val="CommentSubjectChar"/>
    <w:uiPriority w:val="99"/>
    <w:semiHidden/>
    <w:unhideWhenUsed/>
    <w:rsid w:val="003E2CCC"/>
    <w:rPr>
      <w:b/>
      <w:bCs/>
      <w:sz w:val="20"/>
      <w:szCs w:val="20"/>
    </w:rPr>
  </w:style>
  <w:style w:type="character" w:customStyle="1" w:styleId="CommentSubjectChar">
    <w:name w:val="Comment Subject Char"/>
    <w:basedOn w:val="CommentTextChar"/>
    <w:link w:val="CommentSubject"/>
    <w:uiPriority w:val="99"/>
    <w:semiHidden/>
    <w:rsid w:val="003E2CCC"/>
    <w:rPr>
      <w:b/>
      <w:bCs/>
      <w:sz w:val="20"/>
      <w:szCs w:val="20"/>
    </w:rPr>
  </w:style>
  <w:style w:type="paragraph" w:customStyle="1" w:styleId="Style1">
    <w:name w:val="Style1"/>
    <w:basedOn w:val="NoSpacing"/>
    <w:link w:val="Style1Char"/>
    <w:qFormat/>
    <w:rsid w:val="00D47436"/>
    <w:pPr>
      <w:spacing w:before="120" w:after="120"/>
    </w:pPr>
  </w:style>
  <w:style w:type="character" w:customStyle="1" w:styleId="Heading2Char">
    <w:name w:val="Heading 2 Char"/>
    <w:basedOn w:val="DefaultParagraphFont"/>
    <w:link w:val="Heading2"/>
    <w:uiPriority w:val="9"/>
    <w:rsid w:val="00136837"/>
    <w:rPr>
      <w:b/>
      <w:sz w:val="28"/>
      <w:shd w:val="clear" w:color="auto" w:fill="C5E0B3" w:themeFill="accent6" w:themeFillTint="66"/>
    </w:rPr>
  </w:style>
  <w:style w:type="character" w:customStyle="1" w:styleId="Style1Char">
    <w:name w:val="Style1 Char"/>
    <w:basedOn w:val="NoSpacingChar"/>
    <w:link w:val="Style1"/>
    <w:rsid w:val="00D47436"/>
  </w:style>
  <w:style w:type="character" w:customStyle="1" w:styleId="Heading3Char">
    <w:name w:val="Heading 3 Char"/>
    <w:basedOn w:val="DefaultParagraphFont"/>
    <w:link w:val="Heading3"/>
    <w:uiPriority w:val="9"/>
    <w:semiHidden/>
    <w:rsid w:val="002F3FE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2F3FE4"/>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6E4029"/>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6E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29"/>
  </w:style>
  <w:style w:type="paragraph" w:styleId="Header">
    <w:name w:val="header"/>
    <w:basedOn w:val="Normal"/>
    <w:link w:val="HeaderChar"/>
    <w:uiPriority w:val="99"/>
    <w:unhideWhenUsed/>
    <w:rsid w:val="006E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29"/>
  </w:style>
  <w:style w:type="paragraph" w:styleId="TOCHeading">
    <w:name w:val="TOC Heading"/>
    <w:basedOn w:val="Heading1"/>
    <w:next w:val="Normal"/>
    <w:uiPriority w:val="39"/>
    <w:unhideWhenUsed/>
    <w:qFormat/>
    <w:rsid w:val="006E4029"/>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E4029"/>
    <w:pPr>
      <w:spacing w:after="100"/>
    </w:pPr>
  </w:style>
  <w:style w:type="paragraph" w:styleId="TOC2">
    <w:name w:val="toc 2"/>
    <w:basedOn w:val="Normal"/>
    <w:next w:val="Normal"/>
    <w:autoRedefine/>
    <w:uiPriority w:val="39"/>
    <w:unhideWhenUsed/>
    <w:rsid w:val="006E402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631">
      <w:bodyDiv w:val="1"/>
      <w:marLeft w:val="0"/>
      <w:marRight w:val="0"/>
      <w:marTop w:val="0"/>
      <w:marBottom w:val="0"/>
      <w:divBdr>
        <w:top w:val="none" w:sz="0" w:space="0" w:color="auto"/>
        <w:left w:val="none" w:sz="0" w:space="0" w:color="auto"/>
        <w:bottom w:val="none" w:sz="0" w:space="0" w:color="auto"/>
        <w:right w:val="none" w:sz="0" w:space="0" w:color="auto"/>
      </w:divBdr>
    </w:div>
    <w:div w:id="42292470">
      <w:bodyDiv w:val="1"/>
      <w:marLeft w:val="0"/>
      <w:marRight w:val="0"/>
      <w:marTop w:val="0"/>
      <w:marBottom w:val="0"/>
      <w:divBdr>
        <w:top w:val="none" w:sz="0" w:space="0" w:color="auto"/>
        <w:left w:val="none" w:sz="0" w:space="0" w:color="auto"/>
        <w:bottom w:val="none" w:sz="0" w:space="0" w:color="auto"/>
        <w:right w:val="none" w:sz="0" w:space="0" w:color="auto"/>
      </w:divBdr>
    </w:div>
    <w:div w:id="202324604">
      <w:bodyDiv w:val="1"/>
      <w:marLeft w:val="0"/>
      <w:marRight w:val="0"/>
      <w:marTop w:val="0"/>
      <w:marBottom w:val="0"/>
      <w:divBdr>
        <w:top w:val="none" w:sz="0" w:space="0" w:color="auto"/>
        <w:left w:val="none" w:sz="0" w:space="0" w:color="auto"/>
        <w:bottom w:val="none" w:sz="0" w:space="0" w:color="auto"/>
        <w:right w:val="none" w:sz="0" w:space="0" w:color="auto"/>
      </w:divBdr>
    </w:div>
    <w:div w:id="221871314">
      <w:bodyDiv w:val="1"/>
      <w:marLeft w:val="0"/>
      <w:marRight w:val="0"/>
      <w:marTop w:val="0"/>
      <w:marBottom w:val="0"/>
      <w:divBdr>
        <w:top w:val="none" w:sz="0" w:space="0" w:color="auto"/>
        <w:left w:val="none" w:sz="0" w:space="0" w:color="auto"/>
        <w:bottom w:val="none" w:sz="0" w:space="0" w:color="auto"/>
        <w:right w:val="none" w:sz="0" w:space="0" w:color="auto"/>
      </w:divBdr>
    </w:div>
    <w:div w:id="227108392">
      <w:bodyDiv w:val="1"/>
      <w:marLeft w:val="0"/>
      <w:marRight w:val="0"/>
      <w:marTop w:val="0"/>
      <w:marBottom w:val="0"/>
      <w:divBdr>
        <w:top w:val="none" w:sz="0" w:space="0" w:color="auto"/>
        <w:left w:val="none" w:sz="0" w:space="0" w:color="auto"/>
        <w:bottom w:val="none" w:sz="0" w:space="0" w:color="auto"/>
        <w:right w:val="none" w:sz="0" w:space="0" w:color="auto"/>
      </w:divBdr>
    </w:div>
    <w:div w:id="228269087">
      <w:bodyDiv w:val="1"/>
      <w:marLeft w:val="0"/>
      <w:marRight w:val="0"/>
      <w:marTop w:val="0"/>
      <w:marBottom w:val="0"/>
      <w:divBdr>
        <w:top w:val="none" w:sz="0" w:space="0" w:color="auto"/>
        <w:left w:val="none" w:sz="0" w:space="0" w:color="auto"/>
        <w:bottom w:val="none" w:sz="0" w:space="0" w:color="auto"/>
        <w:right w:val="none" w:sz="0" w:space="0" w:color="auto"/>
      </w:divBdr>
    </w:div>
    <w:div w:id="355547576">
      <w:bodyDiv w:val="1"/>
      <w:marLeft w:val="0"/>
      <w:marRight w:val="0"/>
      <w:marTop w:val="0"/>
      <w:marBottom w:val="0"/>
      <w:divBdr>
        <w:top w:val="none" w:sz="0" w:space="0" w:color="auto"/>
        <w:left w:val="none" w:sz="0" w:space="0" w:color="auto"/>
        <w:bottom w:val="none" w:sz="0" w:space="0" w:color="auto"/>
        <w:right w:val="none" w:sz="0" w:space="0" w:color="auto"/>
      </w:divBdr>
    </w:div>
    <w:div w:id="390884514">
      <w:bodyDiv w:val="1"/>
      <w:marLeft w:val="0"/>
      <w:marRight w:val="0"/>
      <w:marTop w:val="0"/>
      <w:marBottom w:val="0"/>
      <w:divBdr>
        <w:top w:val="none" w:sz="0" w:space="0" w:color="auto"/>
        <w:left w:val="none" w:sz="0" w:space="0" w:color="auto"/>
        <w:bottom w:val="none" w:sz="0" w:space="0" w:color="auto"/>
        <w:right w:val="none" w:sz="0" w:space="0" w:color="auto"/>
      </w:divBdr>
    </w:div>
    <w:div w:id="435949084">
      <w:bodyDiv w:val="1"/>
      <w:marLeft w:val="0"/>
      <w:marRight w:val="0"/>
      <w:marTop w:val="0"/>
      <w:marBottom w:val="0"/>
      <w:divBdr>
        <w:top w:val="none" w:sz="0" w:space="0" w:color="auto"/>
        <w:left w:val="none" w:sz="0" w:space="0" w:color="auto"/>
        <w:bottom w:val="none" w:sz="0" w:space="0" w:color="auto"/>
        <w:right w:val="none" w:sz="0" w:space="0" w:color="auto"/>
      </w:divBdr>
    </w:div>
    <w:div w:id="448430048">
      <w:bodyDiv w:val="1"/>
      <w:marLeft w:val="0"/>
      <w:marRight w:val="0"/>
      <w:marTop w:val="0"/>
      <w:marBottom w:val="0"/>
      <w:divBdr>
        <w:top w:val="none" w:sz="0" w:space="0" w:color="auto"/>
        <w:left w:val="none" w:sz="0" w:space="0" w:color="auto"/>
        <w:bottom w:val="none" w:sz="0" w:space="0" w:color="auto"/>
        <w:right w:val="none" w:sz="0" w:space="0" w:color="auto"/>
      </w:divBdr>
    </w:div>
    <w:div w:id="553391784">
      <w:bodyDiv w:val="1"/>
      <w:marLeft w:val="0"/>
      <w:marRight w:val="0"/>
      <w:marTop w:val="0"/>
      <w:marBottom w:val="0"/>
      <w:divBdr>
        <w:top w:val="none" w:sz="0" w:space="0" w:color="auto"/>
        <w:left w:val="none" w:sz="0" w:space="0" w:color="auto"/>
        <w:bottom w:val="none" w:sz="0" w:space="0" w:color="auto"/>
        <w:right w:val="none" w:sz="0" w:space="0" w:color="auto"/>
      </w:divBdr>
    </w:div>
    <w:div w:id="586689454">
      <w:bodyDiv w:val="1"/>
      <w:marLeft w:val="0"/>
      <w:marRight w:val="0"/>
      <w:marTop w:val="0"/>
      <w:marBottom w:val="0"/>
      <w:divBdr>
        <w:top w:val="none" w:sz="0" w:space="0" w:color="auto"/>
        <w:left w:val="none" w:sz="0" w:space="0" w:color="auto"/>
        <w:bottom w:val="none" w:sz="0" w:space="0" w:color="auto"/>
        <w:right w:val="none" w:sz="0" w:space="0" w:color="auto"/>
      </w:divBdr>
    </w:div>
    <w:div w:id="640812421">
      <w:bodyDiv w:val="1"/>
      <w:marLeft w:val="0"/>
      <w:marRight w:val="0"/>
      <w:marTop w:val="0"/>
      <w:marBottom w:val="0"/>
      <w:divBdr>
        <w:top w:val="none" w:sz="0" w:space="0" w:color="auto"/>
        <w:left w:val="none" w:sz="0" w:space="0" w:color="auto"/>
        <w:bottom w:val="none" w:sz="0" w:space="0" w:color="auto"/>
        <w:right w:val="none" w:sz="0" w:space="0" w:color="auto"/>
      </w:divBdr>
    </w:div>
    <w:div w:id="674840526">
      <w:bodyDiv w:val="1"/>
      <w:marLeft w:val="0"/>
      <w:marRight w:val="0"/>
      <w:marTop w:val="0"/>
      <w:marBottom w:val="0"/>
      <w:divBdr>
        <w:top w:val="none" w:sz="0" w:space="0" w:color="auto"/>
        <w:left w:val="none" w:sz="0" w:space="0" w:color="auto"/>
        <w:bottom w:val="none" w:sz="0" w:space="0" w:color="auto"/>
        <w:right w:val="none" w:sz="0" w:space="0" w:color="auto"/>
      </w:divBdr>
    </w:div>
    <w:div w:id="714547051">
      <w:bodyDiv w:val="1"/>
      <w:marLeft w:val="0"/>
      <w:marRight w:val="0"/>
      <w:marTop w:val="0"/>
      <w:marBottom w:val="0"/>
      <w:divBdr>
        <w:top w:val="none" w:sz="0" w:space="0" w:color="auto"/>
        <w:left w:val="none" w:sz="0" w:space="0" w:color="auto"/>
        <w:bottom w:val="none" w:sz="0" w:space="0" w:color="auto"/>
        <w:right w:val="none" w:sz="0" w:space="0" w:color="auto"/>
      </w:divBdr>
    </w:div>
    <w:div w:id="719326184">
      <w:bodyDiv w:val="1"/>
      <w:marLeft w:val="0"/>
      <w:marRight w:val="0"/>
      <w:marTop w:val="0"/>
      <w:marBottom w:val="0"/>
      <w:divBdr>
        <w:top w:val="none" w:sz="0" w:space="0" w:color="auto"/>
        <w:left w:val="none" w:sz="0" w:space="0" w:color="auto"/>
        <w:bottom w:val="none" w:sz="0" w:space="0" w:color="auto"/>
        <w:right w:val="none" w:sz="0" w:space="0" w:color="auto"/>
      </w:divBdr>
    </w:div>
    <w:div w:id="787044530">
      <w:bodyDiv w:val="1"/>
      <w:marLeft w:val="0"/>
      <w:marRight w:val="0"/>
      <w:marTop w:val="0"/>
      <w:marBottom w:val="0"/>
      <w:divBdr>
        <w:top w:val="none" w:sz="0" w:space="0" w:color="auto"/>
        <w:left w:val="none" w:sz="0" w:space="0" w:color="auto"/>
        <w:bottom w:val="none" w:sz="0" w:space="0" w:color="auto"/>
        <w:right w:val="none" w:sz="0" w:space="0" w:color="auto"/>
      </w:divBdr>
    </w:div>
    <w:div w:id="810177206">
      <w:bodyDiv w:val="1"/>
      <w:marLeft w:val="0"/>
      <w:marRight w:val="0"/>
      <w:marTop w:val="0"/>
      <w:marBottom w:val="0"/>
      <w:divBdr>
        <w:top w:val="none" w:sz="0" w:space="0" w:color="auto"/>
        <w:left w:val="none" w:sz="0" w:space="0" w:color="auto"/>
        <w:bottom w:val="none" w:sz="0" w:space="0" w:color="auto"/>
        <w:right w:val="none" w:sz="0" w:space="0" w:color="auto"/>
      </w:divBdr>
    </w:div>
    <w:div w:id="820388004">
      <w:bodyDiv w:val="1"/>
      <w:marLeft w:val="0"/>
      <w:marRight w:val="0"/>
      <w:marTop w:val="0"/>
      <w:marBottom w:val="0"/>
      <w:divBdr>
        <w:top w:val="none" w:sz="0" w:space="0" w:color="auto"/>
        <w:left w:val="none" w:sz="0" w:space="0" w:color="auto"/>
        <w:bottom w:val="none" w:sz="0" w:space="0" w:color="auto"/>
        <w:right w:val="none" w:sz="0" w:space="0" w:color="auto"/>
      </w:divBdr>
    </w:div>
    <w:div w:id="906301233">
      <w:bodyDiv w:val="1"/>
      <w:marLeft w:val="0"/>
      <w:marRight w:val="0"/>
      <w:marTop w:val="0"/>
      <w:marBottom w:val="0"/>
      <w:divBdr>
        <w:top w:val="none" w:sz="0" w:space="0" w:color="auto"/>
        <w:left w:val="none" w:sz="0" w:space="0" w:color="auto"/>
        <w:bottom w:val="none" w:sz="0" w:space="0" w:color="auto"/>
        <w:right w:val="none" w:sz="0" w:space="0" w:color="auto"/>
      </w:divBdr>
    </w:div>
    <w:div w:id="909387103">
      <w:bodyDiv w:val="1"/>
      <w:marLeft w:val="0"/>
      <w:marRight w:val="0"/>
      <w:marTop w:val="0"/>
      <w:marBottom w:val="0"/>
      <w:divBdr>
        <w:top w:val="none" w:sz="0" w:space="0" w:color="auto"/>
        <w:left w:val="none" w:sz="0" w:space="0" w:color="auto"/>
        <w:bottom w:val="none" w:sz="0" w:space="0" w:color="auto"/>
        <w:right w:val="none" w:sz="0" w:space="0" w:color="auto"/>
      </w:divBdr>
    </w:div>
    <w:div w:id="952828980">
      <w:bodyDiv w:val="1"/>
      <w:marLeft w:val="0"/>
      <w:marRight w:val="0"/>
      <w:marTop w:val="0"/>
      <w:marBottom w:val="0"/>
      <w:divBdr>
        <w:top w:val="none" w:sz="0" w:space="0" w:color="auto"/>
        <w:left w:val="none" w:sz="0" w:space="0" w:color="auto"/>
        <w:bottom w:val="none" w:sz="0" w:space="0" w:color="auto"/>
        <w:right w:val="none" w:sz="0" w:space="0" w:color="auto"/>
      </w:divBdr>
    </w:div>
    <w:div w:id="983655089">
      <w:bodyDiv w:val="1"/>
      <w:marLeft w:val="0"/>
      <w:marRight w:val="0"/>
      <w:marTop w:val="0"/>
      <w:marBottom w:val="0"/>
      <w:divBdr>
        <w:top w:val="none" w:sz="0" w:space="0" w:color="auto"/>
        <w:left w:val="none" w:sz="0" w:space="0" w:color="auto"/>
        <w:bottom w:val="none" w:sz="0" w:space="0" w:color="auto"/>
        <w:right w:val="none" w:sz="0" w:space="0" w:color="auto"/>
      </w:divBdr>
    </w:div>
    <w:div w:id="1165975864">
      <w:bodyDiv w:val="1"/>
      <w:marLeft w:val="0"/>
      <w:marRight w:val="0"/>
      <w:marTop w:val="0"/>
      <w:marBottom w:val="0"/>
      <w:divBdr>
        <w:top w:val="none" w:sz="0" w:space="0" w:color="auto"/>
        <w:left w:val="none" w:sz="0" w:space="0" w:color="auto"/>
        <w:bottom w:val="none" w:sz="0" w:space="0" w:color="auto"/>
        <w:right w:val="none" w:sz="0" w:space="0" w:color="auto"/>
      </w:divBdr>
    </w:div>
    <w:div w:id="1207451605">
      <w:bodyDiv w:val="1"/>
      <w:marLeft w:val="0"/>
      <w:marRight w:val="0"/>
      <w:marTop w:val="0"/>
      <w:marBottom w:val="0"/>
      <w:divBdr>
        <w:top w:val="none" w:sz="0" w:space="0" w:color="auto"/>
        <w:left w:val="none" w:sz="0" w:space="0" w:color="auto"/>
        <w:bottom w:val="none" w:sz="0" w:space="0" w:color="auto"/>
        <w:right w:val="none" w:sz="0" w:space="0" w:color="auto"/>
      </w:divBdr>
    </w:div>
    <w:div w:id="1225220800">
      <w:bodyDiv w:val="1"/>
      <w:marLeft w:val="0"/>
      <w:marRight w:val="0"/>
      <w:marTop w:val="0"/>
      <w:marBottom w:val="0"/>
      <w:divBdr>
        <w:top w:val="none" w:sz="0" w:space="0" w:color="auto"/>
        <w:left w:val="none" w:sz="0" w:space="0" w:color="auto"/>
        <w:bottom w:val="none" w:sz="0" w:space="0" w:color="auto"/>
        <w:right w:val="none" w:sz="0" w:space="0" w:color="auto"/>
      </w:divBdr>
    </w:div>
    <w:div w:id="1406563900">
      <w:bodyDiv w:val="1"/>
      <w:marLeft w:val="0"/>
      <w:marRight w:val="0"/>
      <w:marTop w:val="0"/>
      <w:marBottom w:val="0"/>
      <w:divBdr>
        <w:top w:val="none" w:sz="0" w:space="0" w:color="auto"/>
        <w:left w:val="none" w:sz="0" w:space="0" w:color="auto"/>
        <w:bottom w:val="none" w:sz="0" w:space="0" w:color="auto"/>
        <w:right w:val="none" w:sz="0" w:space="0" w:color="auto"/>
      </w:divBdr>
    </w:div>
    <w:div w:id="1446924319">
      <w:bodyDiv w:val="1"/>
      <w:marLeft w:val="0"/>
      <w:marRight w:val="0"/>
      <w:marTop w:val="0"/>
      <w:marBottom w:val="0"/>
      <w:divBdr>
        <w:top w:val="none" w:sz="0" w:space="0" w:color="auto"/>
        <w:left w:val="none" w:sz="0" w:space="0" w:color="auto"/>
        <w:bottom w:val="none" w:sz="0" w:space="0" w:color="auto"/>
        <w:right w:val="none" w:sz="0" w:space="0" w:color="auto"/>
      </w:divBdr>
    </w:div>
    <w:div w:id="1474833076">
      <w:bodyDiv w:val="1"/>
      <w:marLeft w:val="0"/>
      <w:marRight w:val="0"/>
      <w:marTop w:val="0"/>
      <w:marBottom w:val="0"/>
      <w:divBdr>
        <w:top w:val="none" w:sz="0" w:space="0" w:color="auto"/>
        <w:left w:val="none" w:sz="0" w:space="0" w:color="auto"/>
        <w:bottom w:val="none" w:sz="0" w:space="0" w:color="auto"/>
        <w:right w:val="none" w:sz="0" w:space="0" w:color="auto"/>
      </w:divBdr>
    </w:div>
    <w:div w:id="1551646358">
      <w:bodyDiv w:val="1"/>
      <w:marLeft w:val="0"/>
      <w:marRight w:val="0"/>
      <w:marTop w:val="0"/>
      <w:marBottom w:val="0"/>
      <w:divBdr>
        <w:top w:val="none" w:sz="0" w:space="0" w:color="auto"/>
        <w:left w:val="none" w:sz="0" w:space="0" w:color="auto"/>
        <w:bottom w:val="none" w:sz="0" w:space="0" w:color="auto"/>
        <w:right w:val="none" w:sz="0" w:space="0" w:color="auto"/>
      </w:divBdr>
    </w:div>
    <w:div w:id="1621763293">
      <w:bodyDiv w:val="1"/>
      <w:marLeft w:val="0"/>
      <w:marRight w:val="0"/>
      <w:marTop w:val="0"/>
      <w:marBottom w:val="0"/>
      <w:divBdr>
        <w:top w:val="none" w:sz="0" w:space="0" w:color="auto"/>
        <w:left w:val="none" w:sz="0" w:space="0" w:color="auto"/>
        <w:bottom w:val="none" w:sz="0" w:space="0" w:color="auto"/>
        <w:right w:val="none" w:sz="0" w:space="0" w:color="auto"/>
      </w:divBdr>
    </w:div>
    <w:div w:id="1628007094">
      <w:bodyDiv w:val="1"/>
      <w:marLeft w:val="0"/>
      <w:marRight w:val="0"/>
      <w:marTop w:val="0"/>
      <w:marBottom w:val="0"/>
      <w:divBdr>
        <w:top w:val="none" w:sz="0" w:space="0" w:color="auto"/>
        <w:left w:val="none" w:sz="0" w:space="0" w:color="auto"/>
        <w:bottom w:val="none" w:sz="0" w:space="0" w:color="auto"/>
        <w:right w:val="none" w:sz="0" w:space="0" w:color="auto"/>
      </w:divBdr>
    </w:div>
    <w:div w:id="1629310841">
      <w:bodyDiv w:val="1"/>
      <w:marLeft w:val="0"/>
      <w:marRight w:val="0"/>
      <w:marTop w:val="0"/>
      <w:marBottom w:val="0"/>
      <w:divBdr>
        <w:top w:val="none" w:sz="0" w:space="0" w:color="auto"/>
        <w:left w:val="none" w:sz="0" w:space="0" w:color="auto"/>
        <w:bottom w:val="none" w:sz="0" w:space="0" w:color="auto"/>
        <w:right w:val="none" w:sz="0" w:space="0" w:color="auto"/>
      </w:divBdr>
    </w:div>
    <w:div w:id="1720007586">
      <w:bodyDiv w:val="1"/>
      <w:marLeft w:val="0"/>
      <w:marRight w:val="0"/>
      <w:marTop w:val="0"/>
      <w:marBottom w:val="0"/>
      <w:divBdr>
        <w:top w:val="none" w:sz="0" w:space="0" w:color="auto"/>
        <w:left w:val="none" w:sz="0" w:space="0" w:color="auto"/>
        <w:bottom w:val="none" w:sz="0" w:space="0" w:color="auto"/>
        <w:right w:val="none" w:sz="0" w:space="0" w:color="auto"/>
      </w:divBdr>
    </w:div>
    <w:div w:id="1793673982">
      <w:bodyDiv w:val="1"/>
      <w:marLeft w:val="0"/>
      <w:marRight w:val="0"/>
      <w:marTop w:val="0"/>
      <w:marBottom w:val="0"/>
      <w:divBdr>
        <w:top w:val="none" w:sz="0" w:space="0" w:color="auto"/>
        <w:left w:val="none" w:sz="0" w:space="0" w:color="auto"/>
        <w:bottom w:val="none" w:sz="0" w:space="0" w:color="auto"/>
        <w:right w:val="none" w:sz="0" w:space="0" w:color="auto"/>
      </w:divBdr>
    </w:div>
    <w:div w:id="1932228677">
      <w:bodyDiv w:val="1"/>
      <w:marLeft w:val="0"/>
      <w:marRight w:val="0"/>
      <w:marTop w:val="0"/>
      <w:marBottom w:val="0"/>
      <w:divBdr>
        <w:top w:val="none" w:sz="0" w:space="0" w:color="auto"/>
        <w:left w:val="none" w:sz="0" w:space="0" w:color="auto"/>
        <w:bottom w:val="none" w:sz="0" w:space="0" w:color="auto"/>
        <w:right w:val="none" w:sz="0" w:space="0" w:color="auto"/>
      </w:divBdr>
    </w:div>
    <w:div w:id="1954745004">
      <w:bodyDiv w:val="1"/>
      <w:marLeft w:val="0"/>
      <w:marRight w:val="0"/>
      <w:marTop w:val="0"/>
      <w:marBottom w:val="0"/>
      <w:divBdr>
        <w:top w:val="none" w:sz="0" w:space="0" w:color="auto"/>
        <w:left w:val="none" w:sz="0" w:space="0" w:color="auto"/>
        <w:bottom w:val="none" w:sz="0" w:space="0" w:color="auto"/>
        <w:right w:val="none" w:sz="0" w:space="0" w:color="auto"/>
      </w:divBdr>
    </w:div>
    <w:div w:id="2045710339">
      <w:bodyDiv w:val="1"/>
      <w:marLeft w:val="0"/>
      <w:marRight w:val="0"/>
      <w:marTop w:val="0"/>
      <w:marBottom w:val="0"/>
      <w:divBdr>
        <w:top w:val="none" w:sz="0" w:space="0" w:color="auto"/>
        <w:left w:val="none" w:sz="0" w:space="0" w:color="auto"/>
        <w:bottom w:val="none" w:sz="0" w:space="0" w:color="auto"/>
        <w:right w:val="none" w:sz="0" w:space="0" w:color="auto"/>
      </w:divBdr>
    </w:div>
    <w:div w:id="2080518911">
      <w:bodyDiv w:val="1"/>
      <w:marLeft w:val="0"/>
      <w:marRight w:val="0"/>
      <w:marTop w:val="0"/>
      <w:marBottom w:val="0"/>
      <w:divBdr>
        <w:top w:val="none" w:sz="0" w:space="0" w:color="auto"/>
        <w:left w:val="none" w:sz="0" w:space="0" w:color="auto"/>
        <w:bottom w:val="none" w:sz="0" w:space="0" w:color="auto"/>
        <w:right w:val="none" w:sz="0" w:space="0" w:color="auto"/>
      </w:divBdr>
    </w:div>
    <w:div w:id="2097551970">
      <w:bodyDiv w:val="1"/>
      <w:marLeft w:val="0"/>
      <w:marRight w:val="0"/>
      <w:marTop w:val="0"/>
      <w:marBottom w:val="0"/>
      <w:divBdr>
        <w:top w:val="none" w:sz="0" w:space="0" w:color="auto"/>
        <w:left w:val="none" w:sz="0" w:space="0" w:color="auto"/>
        <w:bottom w:val="none" w:sz="0" w:space="0" w:color="auto"/>
        <w:right w:val="none" w:sz="0" w:space="0" w:color="auto"/>
      </w:divBdr>
    </w:div>
    <w:div w:id="2117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hyperlink" Target="https://saraworks.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5168-FC54-4E71-A1E9-AC2289EE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8854</Words>
  <Characters>50471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QUARTER AND yeAR</Company>
  <LinksUpToDate>false</LinksUpToDate>
  <CharactersWithSpaces>59207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 here</dc:creator>
  <cp:keywords/>
  <dc:description/>
  <cp:lastModifiedBy>Minah Oh</cp:lastModifiedBy>
  <cp:revision>3</cp:revision>
  <cp:lastPrinted>2021-04-30T01:45:00Z</cp:lastPrinted>
  <dcterms:created xsi:type="dcterms:W3CDTF">2022-05-02T16:52:00Z</dcterms:created>
  <dcterms:modified xsi:type="dcterms:W3CDTF">2022-12-12T22:49:00Z</dcterms:modified>
</cp:coreProperties>
</file>