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6791145"/>
        <w:docPartObj>
          <w:docPartGallery w:val="Cover Pages"/>
          <w:docPartUnique/>
        </w:docPartObj>
      </w:sdtPr>
      <w:sdtContent>
        <w:p w14:paraId="42E7A1F3" w14:textId="6A7A8D07" w:rsidR="006C24BB" w:rsidRDefault="0045221A">
          <w:r>
            <w:rPr>
              <w:noProof/>
            </w:rPr>
            <mc:AlternateContent>
              <mc:Choice Requires="wpg">
                <w:drawing>
                  <wp:anchor distT="0" distB="0" distL="114300" distR="114300" simplePos="0" relativeHeight="251657216" behindDoc="1" locked="0" layoutInCell="1" allowOverlap="1" wp14:anchorId="3176CD99" wp14:editId="13693115">
                    <wp:simplePos x="0" y="0"/>
                    <wp:positionH relativeFrom="page">
                      <wp:posOffset>450574</wp:posOffset>
                    </wp:positionH>
                    <wp:positionV relativeFrom="page">
                      <wp:posOffset>326887</wp:posOffset>
                    </wp:positionV>
                    <wp:extent cx="7001564" cy="9099798"/>
                    <wp:effectExtent l="0" t="0" r="8890" b="635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01564" cy="9099798"/>
                              <a:chOff x="-1502622" y="-137141"/>
                              <a:chExt cx="6943605" cy="9416983"/>
                            </a:xfrm>
                          </wpg:grpSpPr>
                          <wps:wsp>
                            <wps:cNvPr id="194" name="Rectangle 194"/>
                            <wps:cNvSpPr/>
                            <wps:spPr>
                              <a:xfrm>
                                <a:off x="-1502622" y="-137141"/>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450052" y="4607540"/>
                                <a:ext cx="6858000" cy="467230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EAE87" w14:textId="77777777" w:rsidR="00351AB0" w:rsidRDefault="00351AB0" w:rsidP="003E79F0">
                                  <w:pPr>
                                    <w:pStyle w:val="NoSpacing"/>
                                    <w:spacing w:before="120"/>
                                    <w:jc w:val="center"/>
                                    <w:rPr>
                                      <w:color w:val="FFFFFF" w:themeColor="background1"/>
                                    </w:rPr>
                                  </w:pPr>
                                  <w:r>
                                    <w:rPr>
                                      <w:color w:val="FFFFFF" w:themeColor="background1"/>
                                    </w:rPr>
                                    <w:t xml:space="preserve">Caren Sax, Chaz </w:t>
                                  </w:r>
                                  <w:proofErr w:type="gramStart"/>
                                  <w:r>
                                    <w:rPr>
                                      <w:color w:val="FFFFFF" w:themeColor="background1"/>
                                    </w:rPr>
                                    <w:t>Compton</w:t>
                                  </w:r>
                                  <w:proofErr w:type="gramEnd"/>
                                  <w:r>
                                    <w:rPr>
                                      <w:color w:val="FFFFFF" w:themeColor="background1"/>
                                    </w:rPr>
                                    <w:t xml:space="preserve"> and Chip Kenney</w:t>
                                  </w:r>
                                </w:p>
                                <w:p w14:paraId="702A3DFE" w14:textId="0BB76503" w:rsidR="00351AB0" w:rsidRDefault="007D1C49" w:rsidP="003E79F0">
                                  <w:pPr>
                                    <w:pStyle w:val="NoSpacing"/>
                                    <w:spacing w:before="120"/>
                                    <w:jc w:val="center"/>
                                    <w:rPr>
                                      <w:color w:val="FFFFFF" w:themeColor="background1"/>
                                    </w:rPr>
                                  </w:pPr>
                                  <w:r>
                                    <w:rPr>
                                      <w:color w:val="FFFFFF" w:themeColor="background1"/>
                                    </w:rPr>
                                    <w:t xml:space="preserve">End of Year </w:t>
                                  </w:r>
                                  <w:r w:rsidR="00351AB0">
                                    <w:rPr>
                                      <w:color w:val="FFFFFF" w:themeColor="background1"/>
                                    </w:rPr>
                                    <w:t xml:space="preserve">Annual </w:t>
                                  </w:r>
                                  <w:r>
                                    <w:rPr>
                                      <w:color w:val="FFFFFF" w:themeColor="background1"/>
                                    </w:rPr>
                                    <w:t xml:space="preserve">Performance </w:t>
                                  </w:r>
                                  <w:r w:rsidR="00351AB0">
                                    <w:rPr>
                                      <w:color w:val="FFFFFF" w:themeColor="background1"/>
                                    </w:rPr>
                                    <w:t>Report, Year One</w:t>
                                  </w:r>
                                </w:p>
                                <w:p w14:paraId="1F992805" w14:textId="77777777" w:rsidR="00351AB0" w:rsidRDefault="00351AB0">
                                  <w:pPr>
                                    <w:pStyle w:val="NoSpacing"/>
                                    <w:spacing w:before="120"/>
                                    <w:jc w:val="center"/>
                                    <w:rPr>
                                      <w:caps/>
                                      <w:color w:val="FFFFFF" w:themeColor="background1"/>
                                    </w:rPr>
                                  </w:pPr>
                                  <w:r>
                                    <w:rPr>
                                      <w:caps/>
                                      <w:color w:val="FFFFFF" w:themeColor="background1"/>
                                    </w:rPr>
                                    <w:t>SAN DIEGO STATE UNIVERSITY Research foundation</w:t>
                                  </w:r>
                                </w:p>
                                <w:p w14:paraId="51A10D46" w14:textId="77777777" w:rsidR="00351AB0" w:rsidRDefault="00351AB0">
                                  <w:pPr>
                                    <w:pStyle w:val="NoSpacing"/>
                                    <w:spacing w:before="120"/>
                                    <w:jc w:val="center"/>
                                    <w:rPr>
                                      <w:color w:val="FFFFFF" w:themeColor="background1"/>
                                    </w:rPr>
                                  </w:pPr>
                                  <w:r>
                                    <w:rPr>
                                      <w:caps/>
                                      <w:color w:val="FFFFFF" w:themeColor="background1"/>
                                    </w:rPr>
                                    <w:t>INTERWORK INSTITUTE</w:t>
                                  </w:r>
                                </w:p>
                                <w:p w14:paraId="2A871EE2" w14:textId="77777777" w:rsidR="00351AB0" w:rsidRDefault="00351AB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417017" y="1363666"/>
                                <a:ext cx="6858000" cy="30930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0ECBA" w14:textId="77777777" w:rsidR="00351AB0" w:rsidRPr="003B1D7D" w:rsidRDefault="00351AB0">
                                  <w:pPr>
                                    <w:pStyle w:val="NoSpacing"/>
                                    <w:jc w:val="center"/>
                                    <w:rPr>
                                      <w:rFonts w:ascii="Cambria" w:eastAsiaTheme="majorEastAsia" w:hAnsi="Cambria" w:cstheme="majorBidi"/>
                                      <w:caps/>
                                      <w:color w:val="2E74B5" w:themeColor="accent1" w:themeShade="BF"/>
                                      <w:sz w:val="300"/>
                                      <w:szCs w:val="72"/>
                                    </w:rPr>
                                  </w:pPr>
                                  <w:r w:rsidRPr="003B1D7D">
                                    <w:rPr>
                                      <w:rFonts w:ascii="Cambria" w:hAnsi="Cambria"/>
                                      <w:noProof/>
                                      <w:color w:val="2E74B5" w:themeColor="accent1" w:themeShade="BF"/>
                                      <w:sz w:val="96"/>
                                    </w:rPr>
                                    <w:t>VRTAC-QM</w:t>
                                  </w:r>
                                </w:p>
                                <w:p w14:paraId="57868C7C" w14:textId="7B709ACD" w:rsidR="00351AB0" w:rsidRDefault="007D1C49"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 xml:space="preserve">END OF YEAR </w:t>
                                  </w:r>
                                  <w:r w:rsidR="00351AB0">
                                    <w:rPr>
                                      <w:rFonts w:ascii="Cambria" w:eastAsiaTheme="majorEastAsia" w:hAnsi="Cambria" w:cstheme="majorBidi"/>
                                      <w:caps/>
                                      <w:color w:val="5B9BD5" w:themeColor="accent1"/>
                                      <w:sz w:val="72"/>
                                      <w:szCs w:val="72"/>
                                    </w:rPr>
                                    <w:t>Annual</w:t>
                                  </w:r>
                                  <w:r w:rsidR="00351AB0" w:rsidRPr="0045221A">
                                    <w:rPr>
                                      <w:rFonts w:ascii="Cambria" w:eastAsiaTheme="majorEastAsia" w:hAnsi="Cambria" w:cstheme="majorBidi"/>
                                      <w:caps/>
                                      <w:color w:val="5B9BD5" w:themeColor="accent1"/>
                                      <w:sz w:val="72"/>
                                      <w:szCs w:val="72"/>
                                    </w:rPr>
                                    <w:t xml:space="preserve"> </w:t>
                                  </w:r>
                                  <w:r w:rsidR="00351AB0">
                                    <w:rPr>
                                      <w:rFonts w:ascii="Cambria" w:eastAsiaTheme="majorEastAsia" w:hAnsi="Cambria" w:cstheme="majorBidi"/>
                                      <w:caps/>
                                      <w:color w:val="5B9BD5" w:themeColor="accent1"/>
                                      <w:sz w:val="72"/>
                                      <w:szCs w:val="72"/>
                                    </w:rPr>
                                    <w:t xml:space="preserve">Performance </w:t>
                                  </w:r>
                                  <w:r w:rsidR="00351AB0" w:rsidRPr="0045221A">
                                    <w:rPr>
                                      <w:rFonts w:ascii="Cambria" w:eastAsiaTheme="majorEastAsia" w:hAnsi="Cambria" w:cstheme="majorBidi"/>
                                      <w:caps/>
                                      <w:color w:val="5B9BD5" w:themeColor="accent1"/>
                                      <w:sz w:val="72"/>
                                      <w:szCs w:val="72"/>
                                    </w:rPr>
                                    <w:t>Report</w:t>
                                  </w:r>
                                </w:p>
                                <w:p w14:paraId="29EFA881" w14:textId="29291C2D" w:rsidR="007D1C49" w:rsidRPr="0045221A" w:rsidRDefault="007D1C49"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YEAR ONE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76CD99" id="Group 193" o:spid="_x0000_s1026" alt="&quot;&quot;" style="position:absolute;margin-left:35.5pt;margin-top:25.75pt;width:551.3pt;height:716.5pt;z-index:-251659264;mso-position-horizontal-relative:page;mso-position-vertical-relative:page" coordorigin="-15026,-1371" coordsize="69436,9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">
                    <v:rect id="Rectangle 194" o:spid="_x0000_s1027" style="position:absolute;left:-15026;top:-1371;width:68579;height:1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" fillcolor="#1f4d78 [1604]" stroked="f" strokeweight="1pt"/>
                    <v:rect id="Rectangle 195" o:spid="_x0000_s1028" style="position:absolute;left:-14500;top:46075;width:68579;height:467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" fillcolor="#1f4d78 [1604]" stroked="f" strokeweight="1pt">
                      <v:textbox inset="36pt,57.6pt,36pt,36pt">
                        <w:txbxContent>
                          <w:p w14:paraId="4B6EAE87" w14:textId="77777777" w:rsidR="00351AB0" w:rsidRDefault="00351AB0" w:rsidP="003E79F0">
                            <w:pPr>
                              <w:pStyle w:val="NoSpacing"/>
                              <w:spacing w:before="120"/>
                              <w:jc w:val="center"/>
                              <w:rPr>
                                <w:color w:val="FFFFFF" w:themeColor="background1"/>
                              </w:rPr>
                            </w:pPr>
                            <w:r>
                              <w:rPr>
                                <w:color w:val="FFFFFF" w:themeColor="background1"/>
                              </w:rPr>
                              <w:t xml:space="preserve">Caren Sax, Chaz </w:t>
                            </w:r>
                            <w:proofErr w:type="gramStart"/>
                            <w:r>
                              <w:rPr>
                                <w:color w:val="FFFFFF" w:themeColor="background1"/>
                              </w:rPr>
                              <w:t>Compton</w:t>
                            </w:r>
                            <w:proofErr w:type="gramEnd"/>
                            <w:r>
                              <w:rPr>
                                <w:color w:val="FFFFFF" w:themeColor="background1"/>
                              </w:rPr>
                              <w:t xml:space="preserve"> and Chip Kenney</w:t>
                            </w:r>
                          </w:p>
                          <w:p w14:paraId="702A3DFE" w14:textId="0BB76503" w:rsidR="00351AB0" w:rsidRDefault="007D1C49" w:rsidP="003E79F0">
                            <w:pPr>
                              <w:pStyle w:val="NoSpacing"/>
                              <w:spacing w:before="120"/>
                              <w:jc w:val="center"/>
                              <w:rPr>
                                <w:color w:val="FFFFFF" w:themeColor="background1"/>
                              </w:rPr>
                            </w:pPr>
                            <w:r>
                              <w:rPr>
                                <w:color w:val="FFFFFF" w:themeColor="background1"/>
                              </w:rPr>
                              <w:t xml:space="preserve">End of Year </w:t>
                            </w:r>
                            <w:r w:rsidR="00351AB0">
                              <w:rPr>
                                <w:color w:val="FFFFFF" w:themeColor="background1"/>
                              </w:rPr>
                              <w:t xml:space="preserve">Annual </w:t>
                            </w:r>
                            <w:r>
                              <w:rPr>
                                <w:color w:val="FFFFFF" w:themeColor="background1"/>
                              </w:rPr>
                              <w:t xml:space="preserve">Performance </w:t>
                            </w:r>
                            <w:r w:rsidR="00351AB0">
                              <w:rPr>
                                <w:color w:val="FFFFFF" w:themeColor="background1"/>
                              </w:rPr>
                              <w:t>Report, Year One</w:t>
                            </w:r>
                          </w:p>
                          <w:p w14:paraId="1F992805" w14:textId="77777777" w:rsidR="00351AB0" w:rsidRDefault="00351AB0">
                            <w:pPr>
                              <w:pStyle w:val="NoSpacing"/>
                              <w:spacing w:before="120"/>
                              <w:jc w:val="center"/>
                              <w:rPr>
                                <w:caps/>
                                <w:color w:val="FFFFFF" w:themeColor="background1"/>
                              </w:rPr>
                            </w:pPr>
                            <w:r>
                              <w:rPr>
                                <w:caps/>
                                <w:color w:val="FFFFFF" w:themeColor="background1"/>
                              </w:rPr>
                              <w:t>SAN DIEGO STATE UNIVERSITY Research foundation</w:t>
                            </w:r>
                          </w:p>
                          <w:p w14:paraId="51A10D46" w14:textId="77777777" w:rsidR="00351AB0" w:rsidRDefault="00351AB0">
                            <w:pPr>
                              <w:pStyle w:val="NoSpacing"/>
                              <w:spacing w:before="120"/>
                              <w:jc w:val="center"/>
                              <w:rPr>
                                <w:color w:val="FFFFFF" w:themeColor="background1"/>
                              </w:rPr>
                            </w:pPr>
                            <w:r>
                              <w:rPr>
                                <w:caps/>
                                <w:color w:val="FFFFFF" w:themeColor="background1"/>
                              </w:rPr>
                              <w:t>INTERWORK INSTITUTE</w:t>
                            </w:r>
                          </w:p>
                          <w:p w14:paraId="2A871EE2" w14:textId="77777777" w:rsidR="00351AB0" w:rsidRDefault="00351AB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14170;top:13636;width:68579;height:30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D00ECBA" w14:textId="77777777" w:rsidR="00351AB0" w:rsidRPr="003B1D7D" w:rsidRDefault="00351AB0">
                            <w:pPr>
                              <w:pStyle w:val="NoSpacing"/>
                              <w:jc w:val="center"/>
                              <w:rPr>
                                <w:rFonts w:ascii="Cambria" w:eastAsiaTheme="majorEastAsia" w:hAnsi="Cambria" w:cstheme="majorBidi"/>
                                <w:caps/>
                                <w:color w:val="2E74B5" w:themeColor="accent1" w:themeShade="BF"/>
                                <w:sz w:val="300"/>
                                <w:szCs w:val="72"/>
                              </w:rPr>
                            </w:pPr>
                            <w:r w:rsidRPr="003B1D7D">
                              <w:rPr>
                                <w:rFonts w:ascii="Cambria" w:hAnsi="Cambria"/>
                                <w:noProof/>
                                <w:color w:val="2E74B5" w:themeColor="accent1" w:themeShade="BF"/>
                                <w:sz w:val="96"/>
                              </w:rPr>
                              <w:t>VRTAC-QM</w:t>
                            </w:r>
                          </w:p>
                          <w:p w14:paraId="57868C7C" w14:textId="7B709ACD" w:rsidR="00351AB0" w:rsidRDefault="007D1C49"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 xml:space="preserve">END OF YEAR </w:t>
                            </w:r>
                            <w:r w:rsidR="00351AB0">
                              <w:rPr>
                                <w:rFonts w:ascii="Cambria" w:eastAsiaTheme="majorEastAsia" w:hAnsi="Cambria" w:cstheme="majorBidi"/>
                                <w:caps/>
                                <w:color w:val="5B9BD5" w:themeColor="accent1"/>
                                <w:sz w:val="72"/>
                                <w:szCs w:val="72"/>
                              </w:rPr>
                              <w:t>Annual</w:t>
                            </w:r>
                            <w:r w:rsidR="00351AB0" w:rsidRPr="0045221A">
                              <w:rPr>
                                <w:rFonts w:ascii="Cambria" w:eastAsiaTheme="majorEastAsia" w:hAnsi="Cambria" w:cstheme="majorBidi"/>
                                <w:caps/>
                                <w:color w:val="5B9BD5" w:themeColor="accent1"/>
                                <w:sz w:val="72"/>
                                <w:szCs w:val="72"/>
                              </w:rPr>
                              <w:t xml:space="preserve"> </w:t>
                            </w:r>
                            <w:r w:rsidR="00351AB0">
                              <w:rPr>
                                <w:rFonts w:ascii="Cambria" w:eastAsiaTheme="majorEastAsia" w:hAnsi="Cambria" w:cstheme="majorBidi"/>
                                <w:caps/>
                                <w:color w:val="5B9BD5" w:themeColor="accent1"/>
                                <w:sz w:val="72"/>
                                <w:szCs w:val="72"/>
                              </w:rPr>
                              <w:t xml:space="preserve">Performance </w:t>
                            </w:r>
                            <w:r w:rsidR="00351AB0" w:rsidRPr="0045221A">
                              <w:rPr>
                                <w:rFonts w:ascii="Cambria" w:eastAsiaTheme="majorEastAsia" w:hAnsi="Cambria" w:cstheme="majorBidi"/>
                                <w:caps/>
                                <w:color w:val="5B9BD5" w:themeColor="accent1"/>
                                <w:sz w:val="72"/>
                                <w:szCs w:val="72"/>
                              </w:rPr>
                              <w:t>Report</w:t>
                            </w:r>
                          </w:p>
                          <w:p w14:paraId="29EFA881" w14:textId="29291C2D" w:rsidR="007D1C49" w:rsidRPr="0045221A" w:rsidRDefault="007D1C49"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YEAR ONE</w:t>
                            </w:r>
                          </w:p>
                        </w:txbxContent>
                      </v:textbox>
                    </v:shape>
                    <w10:wrap anchorx="page" anchory="page"/>
                  </v:group>
                </w:pict>
              </mc:Fallback>
            </mc:AlternateContent>
          </w:r>
          <w:r>
            <w:br w:type="page"/>
          </w:r>
        </w:p>
        <w:p w14:paraId="7A81327C" w14:textId="68B5948F" w:rsidR="006C24BB" w:rsidRDefault="006C24BB" w:rsidP="006C24BB">
          <w:pPr>
            <w:pStyle w:val="Heading1"/>
          </w:pPr>
          <w:bookmarkStart w:id="0" w:name="_Toc92084364"/>
          <w:r>
            <w:lastRenderedPageBreak/>
            <w:t>Executive Summary</w:t>
          </w:r>
          <w:bookmarkEnd w:id="0"/>
        </w:p>
        <w:p w14:paraId="7647621A" w14:textId="77777777" w:rsidR="00901040" w:rsidRDefault="00901040" w:rsidP="00901040">
          <w:pPr>
            <w:pStyle w:val="Style1"/>
          </w:pPr>
          <w:r>
            <w:t>The first year of the VRTAC-QM was exceptionally busy and productive. The demand for quality management TA and training in the program and performance and fiscal and resource areas has been significant. As of the end of the first year of the project, we achieved the following:</w:t>
          </w:r>
        </w:p>
        <w:p w14:paraId="2B8B6E44" w14:textId="77777777" w:rsidR="00901040" w:rsidRDefault="00901040" w:rsidP="00901040">
          <w:pPr>
            <w:pStyle w:val="Style1"/>
            <w:numPr>
              <w:ilvl w:val="0"/>
              <w:numId w:val="19"/>
            </w:numPr>
          </w:pPr>
          <w:r>
            <w:t xml:space="preserve">Completion of four intensive technical assistance agreements (ITAAs) that include Delaware Blind, Kansas Combined, Montana Combined and Pennsylvania </w:t>
          </w:r>
          <w:proofErr w:type="gramStart"/>
          <w:r>
            <w:t>Combined;</w:t>
          </w:r>
          <w:proofErr w:type="gramEnd"/>
        </w:p>
        <w:p w14:paraId="1F11F30F" w14:textId="77777777" w:rsidR="00901040" w:rsidRDefault="00901040" w:rsidP="00901040">
          <w:pPr>
            <w:pStyle w:val="Style1"/>
            <w:numPr>
              <w:ilvl w:val="0"/>
              <w:numId w:val="19"/>
            </w:numPr>
          </w:pPr>
          <w:r>
            <w:t>The Kansas and Pennsylvania ITAAs are collaborative efforts with the NTAC:</w:t>
          </w:r>
          <w:proofErr w:type="gramStart"/>
          <w:r>
            <w:t>C;</w:t>
          </w:r>
          <w:proofErr w:type="gramEnd"/>
          <w:r>
            <w:t xml:space="preserve"> </w:t>
          </w:r>
        </w:p>
        <w:p w14:paraId="0EA63D73" w14:textId="77777777" w:rsidR="00901040" w:rsidRDefault="00901040" w:rsidP="00901040">
          <w:pPr>
            <w:pStyle w:val="Style1"/>
            <w:numPr>
              <w:ilvl w:val="0"/>
              <w:numId w:val="19"/>
            </w:numPr>
          </w:pPr>
          <w:r>
            <w:t xml:space="preserve">In addition to the four strengths, weaknesses, opportunities and threats (SWOT) analyses that resulted in the ITAAs above, completion of an additional four SWOTS that included Maryland Combined, Florida General, Washington Blind, and South Carolina </w:t>
          </w:r>
          <w:proofErr w:type="gramStart"/>
          <w:r>
            <w:t>General;</w:t>
          </w:r>
          <w:proofErr w:type="gramEnd"/>
        </w:p>
        <w:p w14:paraId="1A9024B2" w14:textId="77777777" w:rsidR="00901040" w:rsidRDefault="00901040" w:rsidP="00901040">
          <w:pPr>
            <w:pStyle w:val="Style1"/>
            <w:numPr>
              <w:ilvl w:val="0"/>
              <w:numId w:val="19"/>
            </w:numPr>
          </w:pPr>
          <w:r>
            <w:t xml:space="preserve">Combined intensive and targeted TA that included 65 State Vocational Rehabilitation Agencies (SVRAs) or 83% of the total 78 </w:t>
          </w:r>
          <w:proofErr w:type="gramStart"/>
          <w:r>
            <w:t>agencies;</w:t>
          </w:r>
          <w:proofErr w:type="gramEnd"/>
        </w:p>
        <w:p w14:paraId="26DC71D2" w14:textId="77777777" w:rsidR="00901040" w:rsidRDefault="00901040" w:rsidP="00901040">
          <w:pPr>
            <w:pStyle w:val="Style1"/>
            <w:numPr>
              <w:ilvl w:val="0"/>
              <w:numId w:val="19"/>
            </w:numPr>
          </w:pPr>
          <w:r>
            <w:t xml:space="preserve">A total of 358 targeted TA </w:t>
          </w:r>
          <w:proofErr w:type="gramStart"/>
          <w:r>
            <w:t>events;</w:t>
          </w:r>
          <w:proofErr w:type="gramEnd"/>
        </w:p>
        <w:p w14:paraId="72073EC2" w14:textId="77777777" w:rsidR="00901040" w:rsidRDefault="00901040" w:rsidP="00901040">
          <w:pPr>
            <w:pStyle w:val="Style1"/>
            <w:numPr>
              <w:ilvl w:val="0"/>
              <w:numId w:val="19"/>
            </w:numPr>
          </w:pPr>
          <w:r>
            <w:t xml:space="preserve">More than 3,406 individuals receiving at least targeted TA and </w:t>
          </w:r>
          <w:proofErr w:type="gramStart"/>
          <w:r>
            <w:t>training;</w:t>
          </w:r>
          <w:proofErr w:type="gramEnd"/>
        </w:p>
        <w:p w14:paraId="1AFF7E88" w14:textId="77777777" w:rsidR="00901040" w:rsidRDefault="00901040" w:rsidP="00901040">
          <w:pPr>
            <w:pStyle w:val="Style1"/>
            <w:numPr>
              <w:ilvl w:val="0"/>
              <w:numId w:val="19"/>
            </w:numPr>
          </w:pPr>
          <w:r>
            <w:t xml:space="preserve">More than 3,400 individuals accessing the 13 webinars we </w:t>
          </w:r>
          <w:proofErr w:type="gramStart"/>
          <w:r>
            <w:t>created;</w:t>
          </w:r>
          <w:proofErr w:type="gramEnd"/>
        </w:p>
        <w:p w14:paraId="56A5EA2B" w14:textId="77777777" w:rsidR="00901040" w:rsidRDefault="00901040" w:rsidP="00901040">
          <w:pPr>
            <w:pStyle w:val="Style1"/>
            <w:numPr>
              <w:ilvl w:val="0"/>
              <w:numId w:val="19"/>
            </w:numPr>
          </w:pPr>
          <w:r>
            <w:t xml:space="preserve">The creation of a website that has hundreds of resources and tools available for VR staff on quality management accessed by over 3,800 unique </w:t>
          </w:r>
          <w:proofErr w:type="gramStart"/>
          <w:r>
            <w:t>visitors;</w:t>
          </w:r>
          <w:proofErr w:type="gramEnd"/>
        </w:p>
        <w:p w14:paraId="36154764" w14:textId="77777777" w:rsidR="00901040" w:rsidRDefault="00901040" w:rsidP="00901040">
          <w:pPr>
            <w:pStyle w:val="Style1"/>
            <w:numPr>
              <w:ilvl w:val="0"/>
              <w:numId w:val="19"/>
            </w:numPr>
          </w:pPr>
          <w:r>
            <w:t>Completion of the initial comprehensive review of quality management strategies and practices for VR; and</w:t>
          </w:r>
        </w:p>
        <w:p w14:paraId="6960A403" w14:textId="77777777" w:rsidR="00901040" w:rsidRDefault="00901040" w:rsidP="00901040">
          <w:pPr>
            <w:pStyle w:val="Style1"/>
            <w:numPr>
              <w:ilvl w:val="0"/>
              <w:numId w:val="19"/>
            </w:numPr>
          </w:pPr>
          <w:r>
            <w:t>Multiple collaborative efforts with other TACs.</w:t>
          </w:r>
        </w:p>
        <w:p w14:paraId="3B80FB61" w14:textId="77777777" w:rsidR="00901040" w:rsidRDefault="00901040" w:rsidP="00901040">
          <w:pPr>
            <w:pStyle w:val="Style1"/>
          </w:pPr>
          <w:r>
            <w:t xml:space="preserve">The VRTAC-QM continues to work closely with the VRTAC-QE and the NTACT:C in planning to work with other agencies.  We communicate frequently with both centers and continue to coordinate and organize the technical assistance center collaborative (TACC) meetings that occur monthly.  </w:t>
          </w:r>
        </w:p>
        <w:p w14:paraId="5E388E7B" w14:textId="77777777" w:rsidR="00901040" w:rsidRDefault="00901040" w:rsidP="00901040">
          <w:r>
            <w:t xml:space="preserve">There were two major projects that were delayed in Year One. These are the VR Wellness Check tool and the Management Concepts training. </w:t>
          </w:r>
          <w:proofErr w:type="gramStart"/>
          <w:r>
            <w:t>Both of these</w:t>
          </w:r>
          <w:proofErr w:type="gramEnd"/>
          <w:r>
            <w:t xml:space="preserve"> projects should be off the ground by the mid-point of Year Two.</w:t>
          </w:r>
        </w:p>
        <w:p w14:paraId="3ABEE125" w14:textId="77777777" w:rsidR="00901040" w:rsidRDefault="00901040" w:rsidP="00901040">
          <w:r>
            <w:t xml:space="preserve">The special projects are moving forward with identification of pilot sites. The Employment First Systems Change project is active in South Carolina and is targeting Montana and Colorado. The SARA pilot is at the beginning stages in Texas, </w:t>
          </w:r>
          <w:proofErr w:type="gramStart"/>
          <w:r>
            <w:t>Montana</w:t>
          </w:r>
          <w:proofErr w:type="gramEnd"/>
          <w:r>
            <w:t xml:space="preserve"> and Virginia Blind. The CRA projects are awaiting review of multiple questions posed to RSA that are in review by the OGC before they move forward with contacting SVRAs. In the </w:t>
          </w:r>
          <w:proofErr w:type="gramStart"/>
          <w:r>
            <w:t>meantime</w:t>
          </w:r>
          <w:proofErr w:type="gramEnd"/>
          <w:r>
            <w:t xml:space="preserve"> the NDI team is working with banks to obtain commitments to the effort.</w:t>
          </w:r>
        </w:p>
        <w:p w14:paraId="385192BB" w14:textId="0A864741" w:rsidR="005F759E" w:rsidRDefault="00000000" w:rsidP="005F759E">
          <w:pPr>
            <w:pStyle w:val="Style1"/>
          </w:pPr>
        </w:p>
      </w:sdtContent>
    </w:sdt>
    <w:p w14:paraId="5EEB3A08" w14:textId="77777777" w:rsidR="005F759E" w:rsidRDefault="005F759E">
      <w:r>
        <w:br w:type="page"/>
      </w:r>
    </w:p>
    <w:sdt>
      <w:sdtPr>
        <w:rPr>
          <w:rFonts w:ascii="Times New Roman" w:eastAsiaTheme="minorHAnsi" w:hAnsi="Times New Roman" w:cs="Times New Roman"/>
          <w:color w:val="auto"/>
          <w:sz w:val="24"/>
          <w:szCs w:val="24"/>
        </w:rPr>
        <w:id w:val="1089509989"/>
        <w:docPartObj>
          <w:docPartGallery w:val="Table of Contents"/>
          <w:docPartUnique/>
        </w:docPartObj>
      </w:sdtPr>
      <w:sdtEndPr>
        <w:rPr>
          <w:b/>
          <w:bCs/>
          <w:noProof/>
        </w:rPr>
      </w:sdtEndPr>
      <w:sdtContent>
        <w:p w14:paraId="4BD0DDDD" w14:textId="0A905A77" w:rsidR="006E4029" w:rsidRDefault="006E4029">
          <w:pPr>
            <w:pStyle w:val="TOCHeading"/>
          </w:pPr>
          <w:r>
            <w:t>Contents</w:t>
          </w:r>
        </w:p>
        <w:p w14:paraId="08FC56C8" w14:textId="01CDCB93" w:rsidR="006C12E8" w:rsidRDefault="006E4029">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084364" w:history="1">
            <w:r w:rsidR="006C12E8" w:rsidRPr="00A37913">
              <w:rPr>
                <w:rStyle w:val="Hyperlink"/>
                <w:noProof/>
              </w:rPr>
              <w:t>Executive Summary</w:t>
            </w:r>
            <w:r w:rsidR="006C12E8">
              <w:rPr>
                <w:noProof/>
                <w:webHidden/>
              </w:rPr>
              <w:tab/>
            </w:r>
            <w:r w:rsidR="006C12E8">
              <w:rPr>
                <w:noProof/>
                <w:webHidden/>
              </w:rPr>
              <w:fldChar w:fldCharType="begin"/>
            </w:r>
            <w:r w:rsidR="006C12E8">
              <w:rPr>
                <w:noProof/>
                <w:webHidden/>
              </w:rPr>
              <w:instrText xml:space="preserve"> PAGEREF _Toc92084364 \h </w:instrText>
            </w:r>
            <w:r w:rsidR="006C12E8">
              <w:rPr>
                <w:noProof/>
                <w:webHidden/>
              </w:rPr>
            </w:r>
            <w:r w:rsidR="006C12E8">
              <w:rPr>
                <w:noProof/>
                <w:webHidden/>
              </w:rPr>
              <w:fldChar w:fldCharType="separate"/>
            </w:r>
            <w:r w:rsidR="006C12E8">
              <w:rPr>
                <w:noProof/>
                <w:webHidden/>
              </w:rPr>
              <w:t>2</w:t>
            </w:r>
            <w:r w:rsidR="006C12E8">
              <w:rPr>
                <w:noProof/>
                <w:webHidden/>
              </w:rPr>
              <w:fldChar w:fldCharType="end"/>
            </w:r>
          </w:hyperlink>
        </w:p>
        <w:p w14:paraId="5399E569" w14:textId="63661F51"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65" w:history="1">
            <w:r w:rsidR="006C12E8" w:rsidRPr="00A37913">
              <w:rPr>
                <w:rStyle w:val="Hyperlink"/>
                <w:noProof/>
              </w:rPr>
              <w:t>Section A: Substantial progress toward completion of goals, objectives, and outputs</w:t>
            </w:r>
            <w:r w:rsidR="006C12E8">
              <w:rPr>
                <w:noProof/>
                <w:webHidden/>
              </w:rPr>
              <w:tab/>
            </w:r>
            <w:r w:rsidR="006C12E8">
              <w:rPr>
                <w:noProof/>
                <w:webHidden/>
              </w:rPr>
              <w:fldChar w:fldCharType="begin"/>
            </w:r>
            <w:r w:rsidR="006C12E8">
              <w:rPr>
                <w:noProof/>
                <w:webHidden/>
              </w:rPr>
              <w:instrText xml:space="preserve"> PAGEREF _Toc92084365 \h </w:instrText>
            </w:r>
            <w:r w:rsidR="006C12E8">
              <w:rPr>
                <w:noProof/>
                <w:webHidden/>
              </w:rPr>
            </w:r>
            <w:r w:rsidR="006C12E8">
              <w:rPr>
                <w:noProof/>
                <w:webHidden/>
              </w:rPr>
              <w:fldChar w:fldCharType="separate"/>
            </w:r>
            <w:r w:rsidR="006C12E8">
              <w:rPr>
                <w:noProof/>
                <w:webHidden/>
              </w:rPr>
              <w:t>4</w:t>
            </w:r>
            <w:r w:rsidR="006C12E8">
              <w:rPr>
                <w:noProof/>
                <w:webHidden/>
              </w:rPr>
              <w:fldChar w:fldCharType="end"/>
            </w:r>
          </w:hyperlink>
        </w:p>
        <w:p w14:paraId="5202D42C" w14:textId="2F94570F"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66" w:history="1">
            <w:r w:rsidR="006C12E8" w:rsidRPr="00A37913">
              <w:rPr>
                <w:rStyle w:val="Hyperlink"/>
                <w:noProof/>
              </w:rPr>
              <w:t>Part 1: Program activities, outputs, and products</w:t>
            </w:r>
            <w:r w:rsidR="006C12E8">
              <w:rPr>
                <w:noProof/>
                <w:webHidden/>
              </w:rPr>
              <w:tab/>
            </w:r>
            <w:r w:rsidR="006C12E8">
              <w:rPr>
                <w:noProof/>
                <w:webHidden/>
              </w:rPr>
              <w:fldChar w:fldCharType="begin"/>
            </w:r>
            <w:r w:rsidR="006C12E8">
              <w:rPr>
                <w:noProof/>
                <w:webHidden/>
              </w:rPr>
              <w:instrText xml:space="preserve"> PAGEREF _Toc92084366 \h </w:instrText>
            </w:r>
            <w:r w:rsidR="006C12E8">
              <w:rPr>
                <w:noProof/>
                <w:webHidden/>
              </w:rPr>
            </w:r>
            <w:r w:rsidR="006C12E8">
              <w:rPr>
                <w:noProof/>
                <w:webHidden/>
              </w:rPr>
              <w:fldChar w:fldCharType="separate"/>
            </w:r>
            <w:r w:rsidR="006C12E8">
              <w:rPr>
                <w:noProof/>
                <w:webHidden/>
              </w:rPr>
              <w:t>4</w:t>
            </w:r>
            <w:r w:rsidR="006C12E8">
              <w:rPr>
                <w:noProof/>
                <w:webHidden/>
              </w:rPr>
              <w:fldChar w:fldCharType="end"/>
            </w:r>
          </w:hyperlink>
        </w:p>
        <w:p w14:paraId="51926C75" w14:textId="083BF421"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67" w:history="1">
            <w:r w:rsidR="006C12E8" w:rsidRPr="00A37913">
              <w:rPr>
                <w:rStyle w:val="Hyperlink"/>
                <w:noProof/>
              </w:rPr>
              <w:t>Intensive TA agreement development and progress on activities, outputs, and outcomes:</w:t>
            </w:r>
            <w:r w:rsidR="006C12E8">
              <w:rPr>
                <w:noProof/>
                <w:webHidden/>
              </w:rPr>
              <w:tab/>
            </w:r>
            <w:r w:rsidR="006C12E8">
              <w:rPr>
                <w:noProof/>
                <w:webHidden/>
              </w:rPr>
              <w:fldChar w:fldCharType="begin"/>
            </w:r>
            <w:r w:rsidR="006C12E8">
              <w:rPr>
                <w:noProof/>
                <w:webHidden/>
              </w:rPr>
              <w:instrText xml:space="preserve"> PAGEREF _Toc92084367 \h </w:instrText>
            </w:r>
            <w:r w:rsidR="006C12E8">
              <w:rPr>
                <w:noProof/>
                <w:webHidden/>
              </w:rPr>
            </w:r>
            <w:r w:rsidR="006C12E8">
              <w:rPr>
                <w:noProof/>
                <w:webHidden/>
              </w:rPr>
              <w:fldChar w:fldCharType="separate"/>
            </w:r>
            <w:r w:rsidR="006C12E8">
              <w:rPr>
                <w:noProof/>
                <w:webHidden/>
              </w:rPr>
              <w:t>4</w:t>
            </w:r>
            <w:r w:rsidR="006C12E8">
              <w:rPr>
                <w:noProof/>
                <w:webHidden/>
              </w:rPr>
              <w:fldChar w:fldCharType="end"/>
            </w:r>
          </w:hyperlink>
        </w:p>
        <w:p w14:paraId="7957A17D" w14:textId="58A2B555"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68" w:history="1">
            <w:r w:rsidR="006C12E8" w:rsidRPr="00A37913">
              <w:rPr>
                <w:rStyle w:val="Hyperlink"/>
                <w:noProof/>
              </w:rPr>
              <w:t>SWOT assessment tools development and assessments conducted</w:t>
            </w:r>
            <w:r w:rsidR="006C12E8">
              <w:rPr>
                <w:noProof/>
                <w:webHidden/>
              </w:rPr>
              <w:tab/>
            </w:r>
            <w:r w:rsidR="006C12E8">
              <w:rPr>
                <w:noProof/>
                <w:webHidden/>
              </w:rPr>
              <w:fldChar w:fldCharType="begin"/>
            </w:r>
            <w:r w:rsidR="006C12E8">
              <w:rPr>
                <w:noProof/>
                <w:webHidden/>
              </w:rPr>
              <w:instrText xml:space="preserve"> PAGEREF _Toc92084368 \h </w:instrText>
            </w:r>
            <w:r w:rsidR="006C12E8">
              <w:rPr>
                <w:noProof/>
                <w:webHidden/>
              </w:rPr>
            </w:r>
            <w:r w:rsidR="006C12E8">
              <w:rPr>
                <w:noProof/>
                <w:webHidden/>
              </w:rPr>
              <w:fldChar w:fldCharType="separate"/>
            </w:r>
            <w:r w:rsidR="006C12E8">
              <w:rPr>
                <w:noProof/>
                <w:webHidden/>
              </w:rPr>
              <w:t>14</w:t>
            </w:r>
            <w:r w:rsidR="006C12E8">
              <w:rPr>
                <w:noProof/>
                <w:webHidden/>
              </w:rPr>
              <w:fldChar w:fldCharType="end"/>
            </w:r>
          </w:hyperlink>
        </w:p>
        <w:p w14:paraId="31DB2236" w14:textId="03652636"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69" w:history="1">
            <w:r w:rsidR="006C12E8" w:rsidRPr="00A37913">
              <w:rPr>
                <w:rStyle w:val="Hyperlink"/>
                <w:noProof/>
              </w:rPr>
              <w:t>Program Evaluation:</w:t>
            </w:r>
            <w:r w:rsidR="006C12E8">
              <w:rPr>
                <w:noProof/>
                <w:webHidden/>
              </w:rPr>
              <w:tab/>
            </w:r>
            <w:r w:rsidR="006C12E8">
              <w:rPr>
                <w:noProof/>
                <w:webHidden/>
              </w:rPr>
              <w:fldChar w:fldCharType="begin"/>
            </w:r>
            <w:r w:rsidR="006C12E8">
              <w:rPr>
                <w:noProof/>
                <w:webHidden/>
              </w:rPr>
              <w:instrText xml:space="preserve"> PAGEREF _Toc92084369 \h </w:instrText>
            </w:r>
            <w:r w:rsidR="006C12E8">
              <w:rPr>
                <w:noProof/>
                <w:webHidden/>
              </w:rPr>
            </w:r>
            <w:r w:rsidR="006C12E8">
              <w:rPr>
                <w:noProof/>
                <w:webHidden/>
              </w:rPr>
              <w:fldChar w:fldCharType="separate"/>
            </w:r>
            <w:r w:rsidR="006C12E8">
              <w:rPr>
                <w:noProof/>
                <w:webHidden/>
              </w:rPr>
              <w:t>15</w:t>
            </w:r>
            <w:r w:rsidR="006C12E8">
              <w:rPr>
                <w:noProof/>
                <w:webHidden/>
              </w:rPr>
              <w:fldChar w:fldCharType="end"/>
            </w:r>
          </w:hyperlink>
        </w:p>
        <w:p w14:paraId="3EBC3760" w14:textId="3C16DEDB"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70" w:history="1">
            <w:r w:rsidR="006C12E8" w:rsidRPr="00A37913">
              <w:rPr>
                <w:rStyle w:val="Hyperlink"/>
                <w:noProof/>
              </w:rPr>
              <w:t>Targeted TA</w:t>
            </w:r>
            <w:r w:rsidR="006C12E8">
              <w:rPr>
                <w:noProof/>
                <w:webHidden/>
              </w:rPr>
              <w:tab/>
            </w:r>
            <w:r w:rsidR="006C12E8">
              <w:rPr>
                <w:noProof/>
                <w:webHidden/>
              </w:rPr>
              <w:fldChar w:fldCharType="begin"/>
            </w:r>
            <w:r w:rsidR="006C12E8">
              <w:rPr>
                <w:noProof/>
                <w:webHidden/>
              </w:rPr>
              <w:instrText xml:space="preserve"> PAGEREF _Toc92084370 \h </w:instrText>
            </w:r>
            <w:r w:rsidR="006C12E8">
              <w:rPr>
                <w:noProof/>
                <w:webHidden/>
              </w:rPr>
            </w:r>
            <w:r w:rsidR="006C12E8">
              <w:rPr>
                <w:noProof/>
                <w:webHidden/>
              </w:rPr>
              <w:fldChar w:fldCharType="separate"/>
            </w:r>
            <w:r w:rsidR="006C12E8">
              <w:rPr>
                <w:noProof/>
                <w:webHidden/>
              </w:rPr>
              <w:t>16</w:t>
            </w:r>
            <w:r w:rsidR="006C12E8">
              <w:rPr>
                <w:noProof/>
                <w:webHidden/>
              </w:rPr>
              <w:fldChar w:fldCharType="end"/>
            </w:r>
          </w:hyperlink>
        </w:p>
        <w:p w14:paraId="55A53BD6" w14:textId="3C78F960"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1" w:history="1">
            <w:r w:rsidR="006C12E8" w:rsidRPr="00A37913">
              <w:rPr>
                <w:rStyle w:val="Hyperlink"/>
                <w:noProof/>
              </w:rPr>
              <w:t>Number of events by type, topic, agency and number served:</w:t>
            </w:r>
            <w:r w:rsidR="006C12E8">
              <w:rPr>
                <w:noProof/>
                <w:webHidden/>
              </w:rPr>
              <w:tab/>
            </w:r>
            <w:r w:rsidR="006C12E8">
              <w:rPr>
                <w:noProof/>
                <w:webHidden/>
              </w:rPr>
              <w:fldChar w:fldCharType="begin"/>
            </w:r>
            <w:r w:rsidR="006C12E8">
              <w:rPr>
                <w:noProof/>
                <w:webHidden/>
              </w:rPr>
              <w:instrText xml:space="preserve"> PAGEREF _Toc92084371 \h </w:instrText>
            </w:r>
            <w:r w:rsidR="006C12E8">
              <w:rPr>
                <w:noProof/>
                <w:webHidden/>
              </w:rPr>
            </w:r>
            <w:r w:rsidR="006C12E8">
              <w:rPr>
                <w:noProof/>
                <w:webHidden/>
              </w:rPr>
              <w:fldChar w:fldCharType="separate"/>
            </w:r>
            <w:r w:rsidR="006C12E8">
              <w:rPr>
                <w:noProof/>
                <w:webHidden/>
              </w:rPr>
              <w:t>16</w:t>
            </w:r>
            <w:r w:rsidR="006C12E8">
              <w:rPr>
                <w:noProof/>
                <w:webHidden/>
              </w:rPr>
              <w:fldChar w:fldCharType="end"/>
            </w:r>
          </w:hyperlink>
        </w:p>
        <w:p w14:paraId="3EF5520A" w14:textId="3E9401DD"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2" w:history="1">
            <w:r w:rsidR="006C12E8" w:rsidRPr="00A37913">
              <w:rPr>
                <w:rStyle w:val="Hyperlink"/>
                <w:noProof/>
              </w:rPr>
              <w:t>Targeted TA of Note:</w:t>
            </w:r>
            <w:r w:rsidR="006C12E8">
              <w:rPr>
                <w:noProof/>
                <w:webHidden/>
              </w:rPr>
              <w:tab/>
            </w:r>
            <w:r w:rsidR="006C12E8">
              <w:rPr>
                <w:noProof/>
                <w:webHidden/>
              </w:rPr>
              <w:fldChar w:fldCharType="begin"/>
            </w:r>
            <w:r w:rsidR="006C12E8">
              <w:rPr>
                <w:noProof/>
                <w:webHidden/>
              </w:rPr>
              <w:instrText xml:space="preserve"> PAGEREF _Toc92084372 \h </w:instrText>
            </w:r>
            <w:r w:rsidR="006C12E8">
              <w:rPr>
                <w:noProof/>
                <w:webHidden/>
              </w:rPr>
            </w:r>
            <w:r w:rsidR="006C12E8">
              <w:rPr>
                <w:noProof/>
                <w:webHidden/>
              </w:rPr>
              <w:fldChar w:fldCharType="separate"/>
            </w:r>
            <w:r w:rsidR="006C12E8">
              <w:rPr>
                <w:noProof/>
                <w:webHidden/>
              </w:rPr>
              <w:t>20</w:t>
            </w:r>
            <w:r w:rsidR="006C12E8">
              <w:rPr>
                <w:noProof/>
                <w:webHidden/>
              </w:rPr>
              <w:fldChar w:fldCharType="end"/>
            </w:r>
          </w:hyperlink>
        </w:p>
        <w:p w14:paraId="6459268B" w14:textId="4AC69E1D"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3" w:history="1">
            <w:r w:rsidR="006C12E8" w:rsidRPr="00A37913">
              <w:rPr>
                <w:rStyle w:val="Hyperlink"/>
                <w:noProof/>
              </w:rPr>
              <w:t>Communities of Practice:</w:t>
            </w:r>
            <w:r w:rsidR="006C12E8">
              <w:rPr>
                <w:noProof/>
                <w:webHidden/>
              </w:rPr>
              <w:tab/>
            </w:r>
            <w:r w:rsidR="006C12E8">
              <w:rPr>
                <w:noProof/>
                <w:webHidden/>
              </w:rPr>
              <w:fldChar w:fldCharType="begin"/>
            </w:r>
            <w:r w:rsidR="006C12E8">
              <w:rPr>
                <w:noProof/>
                <w:webHidden/>
              </w:rPr>
              <w:instrText xml:space="preserve"> PAGEREF _Toc92084373 \h </w:instrText>
            </w:r>
            <w:r w:rsidR="006C12E8">
              <w:rPr>
                <w:noProof/>
                <w:webHidden/>
              </w:rPr>
            </w:r>
            <w:r w:rsidR="006C12E8">
              <w:rPr>
                <w:noProof/>
                <w:webHidden/>
              </w:rPr>
              <w:fldChar w:fldCharType="separate"/>
            </w:r>
            <w:r w:rsidR="006C12E8">
              <w:rPr>
                <w:noProof/>
                <w:webHidden/>
              </w:rPr>
              <w:t>20</w:t>
            </w:r>
            <w:r w:rsidR="006C12E8">
              <w:rPr>
                <w:noProof/>
                <w:webHidden/>
              </w:rPr>
              <w:fldChar w:fldCharType="end"/>
            </w:r>
          </w:hyperlink>
        </w:p>
        <w:p w14:paraId="4B288553" w14:textId="5842EB62"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4" w:history="1">
            <w:r w:rsidR="006C12E8" w:rsidRPr="00A37913">
              <w:rPr>
                <w:rStyle w:val="Hyperlink"/>
                <w:noProof/>
              </w:rPr>
              <w:t>Executive Leadership Seminar Series:</w:t>
            </w:r>
            <w:r w:rsidR="006C12E8">
              <w:rPr>
                <w:noProof/>
                <w:webHidden/>
              </w:rPr>
              <w:tab/>
            </w:r>
            <w:r w:rsidR="006C12E8">
              <w:rPr>
                <w:noProof/>
                <w:webHidden/>
              </w:rPr>
              <w:fldChar w:fldCharType="begin"/>
            </w:r>
            <w:r w:rsidR="006C12E8">
              <w:rPr>
                <w:noProof/>
                <w:webHidden/>
              </w:rPr>
              <w:instrText xml:space="preserve"> PAGEREF _Toc92084374 \h </w:instrText>
            </w:r>
            <w:r w:rsidR="006C12E8">
              <w:rPr>
                <w:noProof/>
                <w:webHidden/>
              </w:rPr>
            </w:r>
            <w:r w:rsidR="006C12E8">
              <w:rPr>
                <w:noProof/>
                <w:webHidden/>
              </w:rPr>
              <w:fldChar w:fldCharType="separate"/>
            </w:r>
            <w:r w:rsidR="006C12E8">
              <w:rPr>
                <w:noProof/>
                <w:webHidden/>
              </w:rPr>
              <w:t>22</w:t>
            </w:r>
            <w:r w:rsidR="006C12E8">
              <w:rPr>
                <w:noProof/>
                <w:webHidden/>
              </w:rPr>
              <w:fldChar w:fldCharType="end"/>
            </w:r>
          </w:hyperlink>
        </w:p>
        <w:p w14:paraId="6C8FB164" w14:textId="0A67BECD"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5" w:history="1">
            <w:r w:rsidR="006C12E8" w:rsidRPr="00A37913">
              <w:rPr>
                <w:rStyle w:val="Hyperlink"/>
                <w:noProof/>
              </w:rPr>
              <w:t>Program Evaluation:</w:t>
            </w:r>
            <w:r w:rsidR="006C12E8">
              <w:rPr>
                <w:noProof/>
                <w:webHidden/>
              </w:rPr>
              <w:tab/>
            </w:r>
            <w:r w:rsidR="006C12E8">
              <w:rPr>
                <w:noProof/>
                <w:webHidden/>
              </w:rPr>
              <w:fldChar w:fldCharType="begin"/>
            </w:r>
            <w:r w:rsidR="006C12E8">
              <w:rPr>
                <w:noProof/>
                <w:webHidden/>
              </w:rPr>
              <w:instrText xml:space="preserve"> PAGEREF _Toc92084375 \h </w:instrText>
            </w:r>
            <w:r w:rsidR="006C12E8">
              <w:rPr>
                <w:noProof/>
                <w:webHidden/>
              </w:rPr>
            </w:r>
            <w:r w:rsidR="006C12E8">
              <w:rPr>
                <w:noProof/>
                <w:webHidden/>
              </w:rPr>
              <w:fldChar w:fldCharType="separate"/>
            </w:r>
            <w:r w:rsidR="006C12E8">
              <w:rPr>
                <w:noProof/>
                <w:webHidden/>
              </w:rPr>
              <w:t>22</w:t>
            </w:r>
            <w:r w:rsidR="006C12E8">
              <w:rPr>
                <w:noProof/>
                <w:webHidden/>
              </w:rPr>
              <w:fldChar w:fldCharType="end"/>
            </w:r>
          </w:hyperlink>
        </w:p>
        <w:p w14:paraId="5F954D46" w14:textId="5D97CA19"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76" w:history="1">
            <w:r w:rsidR="006C12E8" w:rsidRPr="00A37913">
              <w:rPr>
                <w:rStyle w:val="Hyperlink"/>
                <w:noProof/>
              </w:rPr>
              <w:t>Universal TA</w:t>
            </w:r>
            <w:r w:rsidR="006C12E8">
              <w:rPr>
                <w:noProof/>
                <w:webHidden/>
              </w:rPr>
              <w:tab/>
            </w:r>
            <w:r w:rsidR="006C12E8">
              <w:rPr>
                <w:noProof/>
                <w:webHidden/>
              </w:rPr>
              <w:fldChar w:fldCharType="begin"/>
            </w:r>
            <w:r w:rsidR="006C12E8">
              <w:rPr>
                <w:noProof/>
                <w:webHidden/>
              </w:rPr>
              <w:instrText xml:space="preserve"> PAGEREF _Toc92084376 \h </w:instrText>
            </w:r>
            <w:r w:rsidR="006C12E8">
              <w:rPr>
                <w:noProof/>
                <w:webHidden/>
              </w:rPr>
            </w:r>
            <w:r w:rsidR="006C12E8">
              <w:rPr>
                <w:noProof/>
                <w:webHidden/>
              </w:rPr>
              <w:fldChar w:fldCharType="separate"/>
            </w:r>
            <w:r w:rsidR="006C12E8">
              <w:rPr>
                <w:noProof/>
                <w:webHidden/>
              </w:rPr>
              <w:t>23</w:t>
            </w:r>
            <w:r w:rsidR="006C12E8">
              <w:rPr>
                <w:noProof/>
                <w:webHidden/>
              </w:rPr>
              <w:fldChar w:fldCharType="end"/>
            </w:r>
          </w:hyperlink>
        </w:p>
        <w:p w14:paraId="7DC271AF" w14:textId="1B7BD513"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7" w:history="1">
            <w:r w:rsidR="006C12E8" w:rsidRPr="00A37913">
              <w:rPr>
                <w:rStyle w:val="Hyperlink"/>
                <w:noProof/>
              </w:rPr>
              <w:t>Website Analytics:</w:t>
            </w:r>
            <w:r w:rsidR="006C12E8">
              <w:rPr>
                <w:noProof/>
                <w:webHidden/>
              </w:rPr>
              <w:tab/>
            </w:r>
            <w:r w:rsidR="006C12E8">
              <w:rPr>
                <w:noProof/>
                <w:webHidden/>
              </w:rPr>
              <w:fldChar w:fldCharType="begin"/>
            </w:r>
            <w:r w:rsidR="006C12E8">
              <w:rPr>
                <w:noProof/>
                <w:webHidden/>
              </w:rPr>
              <w:instrText xml:space="preserve"> PAGEREF _Toc92084377 \h </w:instrText>
            </w:r>
            <w:r w:rsidR="006C12E8">
              <w:rPr>
                <w:noProof/>
                <w:webHidden/>
              </w:rPr>
            </w:r>
            <w:r w:rsidR="006C12E8">
              <w:rPr>
                <w:noProof/>
                <w:webHidden/>
              </w:rPr>
              <w:fldChar w:fldCharType="separate"/>
            </w:r>
            <w:r w:rsidR="006C12E8">
              <w:rPr>
                <w:noProof/>
                <w:webHidden/>
              </w:rPr>
              <w:t>23</w:t>
            </w:r>
            <w:r w:rsidR="006C12E8">
              <w:rPr>
                <w:noProof/>
                <w:webHidden/>
              </w:rPr>
              <w:fldChar w:fldCharType="end"/>
            </w:r>
          </w:hyperlink>
        </w:p>
        <w:p w14:paraId="27903F10" w14:textId="1BCB2BC0"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8" w:history="1">
            <w:r w:rsidR="006C12E8" w:rsidRPr="00A37913">
              <w:rPr>
                <w:rStyle w:val="Hyperlink"/>
                <w:noProof/>
              </w:rPr>
              <w:t>Universal TA of Note in the 4</w:t>
            </w:r>
            <w:r w:rsidR="006C12E8" w:rsidRPr="00A37913">
              <w:rPr>
                <w:rStyle w:val="Hyperlink"/>
                <w:noProof/>
                <w:vertAlign w:val="superscript"/>
              </w:rPr>
              <w:t>th</w:t>
            </w:r>
            <w:r w:rsidR="006C12E8" w:rsidRPr="00A37913">
              <w:rPr>
                <w:rStyle w:val="Hyperlink"/>
                <w:noProof/>
              </w:rPr>
              <w:t xml:space="preserve"> Quarter:</w:t>
            </w:r>
            <w:r w:rsidR="006C12E8">
              <w:rPr>
                <w:noProof/>
                <w:webHidden/>
              </w:rPr>
              <w:tab/>
            </w:r>
            <w:r w:rsidR="006C12E8">
              <w:rPr>
                <w:noProof/>
                <w:webHidden/>
              </w:rPr>
              <w:fldChar w:fldCharType="begin"/>
            </w:r>
            <w:r w:rsidR="006C12E8">
              <w:rPr>
                <w:noProof/>
                <w:webHidden/>
              </w:rPr>
              <w:instrText xml:space="preserve"> PAGEREF _Toc92084378 \h </w:instrText>
            </w:r>
            <w:r w:rsidR="006C12E8">
              <w:rPr>
                <w:noProof/>
                <w:webHidden/>
              </w:rPr>
            </w:r>
            <w:r w:rsidR="006C12E8">
              <w:rPr>
                <w:noProof/>
                <w:webHidden/>
              </w:rPr>
              <w:fldChar w:fldCharType="separate"/>
            </w:r>
            <w:r w:rsidR="006C12E8">
              <w:rPr>
                <w:noProof/>
                <w:webHidden/>
              </w:rPr>
              <w:t>24</w:t>
            </w:r>
            <w:r w:rsidR="006C12E8">
              <w:rPr>
                <w:noProof/>
                <w:webHidden/>
              </w:rPr>
              <w:fldChar w:fldCharType="end"/>
            </w:r>
          </w:hyperlink>
        </w:p>
        <w:p w14:paraId="63CFFF49" w14:textId="3BD2C704"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79" w:history="1">
            <w:r w:rsidR="006C12E8" w:rsidRPr="00A37913">
              <w:rPr>
                <w:rStyle w:val="Hyperlink"/>
                <w:noProof/>
              </w:rPr>
              <w:t>Webinars:</w:t>
            </w:r>
            <w:r w:rsidR="006C12E8">
              <w:rPr>
                <w:noProof/>
                <w:webHidden/>
              </w:rPr>
              <w:tab/>
            </w:r>
            <w:r w:rsidR="006C12E8">
              <w:rPr>
                <w:noProof/>
                <w:webHidden/>
              </w:rPr>
              <w:fldChar w:fldCharType="begin"/>
            </w:r>
            <w:r w:rsidR="006C12E8">
              <w:rPr>
                <w:noProof/>
                <w:webHidden/>
              </w:rPr>
              <w:instrText xml:space="preserve"> PAGEREF _Toc92084379 \h </w:instrText>
            </w:r>
            <w:r w:rsidR="006C12E8">
              <w:rPr>
                <w:noProof/>
                <w:webHidden/>
              </w:rPr>
            </w:r>
            <w:r w:rsidR="006C12E8">
              <w:rPr>
                <w:noProof/>
                <w:webHidden/>
              </w:rPr>
              <w:fldChar w:fldCharType="separate"/>
            </w:r>
            <w:r w:rsidR="006C12E8">
              <w:rPr>
                <w:noProof/>
                <w:webHidden/>
              </w:rPr>
              <w:t>24</w:t>
            </w:r>
            <w:r w:rsidR="006C12E8">
              <w:rPr>
                <w:noProof/>
                <w:webHidden/>
              </w:rPr>
              <w:fldChar w:fldCharType="end"/>
            </w:r>
          </w:hyperlink>
        </w:p>
        <w:p w14:paraId="3D816F62" w14:textId="0FCAC382"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0" w:history="1">
            <w:r w:rsidR="006C12E8" w:rsidRPr="00A37913">
              <w:rPr>
                <w:rStyle w:val="Hyperlink"/>
                <w:noProof/>
              </w:rPr>
              <w:t>Distribution Lists:</w:t>
            </w:r>
            <w:r w:rsidR="006C12E8">
              <w:rPr>
                <w:noProof/>
                <w:webHidden/>
              </w:rPr>
              <w:tab/>
            </w:r>
            <w:r w:rsidR="006C12E8">
              <w:rPr>
                <w:noProof/>
                <w:webHidden/>
              </w:rPr>
              <w:fldChar w:fldCharType="begin"/>
            </w:r>
            <w:r w:rsidR="006C12E8">
              <w:rPr>
                <w:noProof/>
                <w:webHidden/>
              </w:rPr>
              <w:instrText xml:space="preserve"> PAGEREF _Toc92084380 \h </w:instrText>
            </w:r>
            <w:r w:rsidR="006C12E8">
              <w:rPr>
                <w:noProof/>
                <w:webHidden/>
              </w:rPr>
            </w:r>
            <w:r w:rsidR="006C12E8">
              <w:rPr>
                <w:noProof/>
                <w:webHidden/>
              </w:rPr>
              <w:fldChar w:fldCharType="separate"/>
            </w:r>
            <w:r w:rsidR="006C12E8">
              <w:rPr>
                <w:noProof/>
                <w:webHidden/>
              </w:rPr>
              <w:t>25</w:t>
            </w:r>
            <w:r w:rsidR="006C12E8">
              <w:rPr>
                <w:noProof/>
                <w:webHidden/>
              </w:rPr>
              <w:fldChar w:fldCharType="end"/>
            </w:r>
          </w:hyperlink>
        </w:p>
        <w:p w14:paraId="299AD09B" w14:textId="18ECC9FD"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81" w:history="1">
            <w:r w:rsidR="006C12E8" w:rsidRPr="00A37913">
              <w:rPr>
                <w:rStyle w:val="Hyperlink"/>
                <w:noProof/>
              </w:rPr>
              <w:t>Collaboration with other TA Centers</w:t>
            </w:r>
            <w:r w:rsidR="006C12E8">
              <w:rPr>
                <w:noProof/>
                <w:webHidden/>
              </w:rPr>
              <w:tab/>
            </w:r>
            <w:r w:rsidR="006C12E8">
              <w:rPr>
                <w:noProof/>
                <w:webHidden/>
              </w:rPr>
              <w:fldChar w:fldCharType="begin"/>
            </w:r>
            <w:r w:rsidR="006C12E8">
              <w:rPr>
                <w:noProof/>
                <w:webHidden/>
              </w:rPr>
              <w:instrText xml:space="preserve"> PAGEREF _Toc92084381 \h </w:instrText>
            </w:r>
            <w:r w:rsidR="006C12E8">
              <w:rPr>
                <w:noProof/>
                <w:webHidden/>
              </w:rPr>
            </w:r>
            <w:r w:rsidR="006C12E8">
              <w:rPr>
                <w:noProof/>
                <w:webHidden/>
              </w:rPr>
              <w:fldChar w:fldCharType="separate"/>
            </w:r>
            <w:r w:rsidR="006C12E8">
              <w:rPr>
                <w:noProof/>
                <w:webHidden/>
              </w:rPr>
              <w:t>25</w:t>
            </w:r>
            <w:r w:rsidR="006C12E8">
              <w:rPr>
                <w:noProof/>
                <w:webHidden/>
              </w:rPr>
              <w:fldChar w:fldCharType="end"/>
            </w:r>
          </w:hyperlink>
        </w:p>
        <w:p w14:paraId="33418128" w14:textId="5D7DF8F7"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82" w:history="1">
            <w:r w:rsidR="006C12E8" w:rsidRPr="00A37913">
              <w:rPr>
                <w:rStyle w:val="Hyperlink"/>
                <w:noProof/>
              </w:rPr>
              <w:t>Special Projects</w:t>
            </w:r>
            <w:r w:rsidR="006C12E8">
              <w:rPr>
                <w:noProof/>
                <w:webHidden/>
              </w:rPr>
              <w:tab/>
            </w:r>
            <w:r w:rsidR="006C12E8">
              <w:rPr>
                <w:noProof/>
                <w:webHidden/>
              </w:rPr>
              <w:fldChar w:fldCharType="begin"/>
            </w:r>
            <w:r w:rsidR="006C12E8">
              <w:rPr>
                <w:noProof/>
                <w:webHidden/>
              </w:rPr>
              <w:instrText xml:space="preserve"> PAGEREF _Toc92084382 \h </w:instrText>
            </w:r>
            <w:r w:rsidR="006C12E8">
              <w:rPr>
                <w:noProof/>
                <w:webHidden/>
              </w:rPr>
            </w:r>
            <w:r w:rsidR="006C12E8">
              <w:rPr>
                <w:noProof/>
                <w:webHidden/>
              </w:rPr>
              <w:fldChar w:fldCharType="separate"/>
            </w:r>
            <w:r w:rsidR="006C12E8">
              <w:rPr>
                <w:noProof/>
                <w:webHidden/>
              </w:rPr>
              <w:t>25</w:t>
            </w:r>
            <w:r w:rsidR="006C12E8">
              <w:rPr>
                <w:noProof/>
                <w:webHidden/>
              </w:rPr>
              <w:fldChar w:fldCharType="end"/>
            </w:r>
          </w:hyperlink>
        </w:p>
        <w:p w14:paraId="7304B3DE" w14:textId="6A654FCF"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3" w:history="1">
            <w:r w:rsidR="006C12E8" w:rsidRPr="00A37913">
              <w:rPr>
                <w:rStyle w:val="Hyperlink"/>
                <w:noProof/>
              </w:rPr>
              <w:t>Community Reinvestment Act Project:</w:t>
            </w:r>
            <w:r w:rsidR="006C12E8">
              <w:rPr>
                <w:noProof/>
                <w:webHidden/>
              </w:rPr>
              <w:tab/>
            </w:r>
            <w:r w:rsidR="006C12E8">
              <w:rPr>
                <w:noProof/>
                <w:webHidden/>
              </w:rPr>
              <w:fldChar w:fldCharType="begin"/>
            </w:r>
            <w:r w:rsidR="006C12E8">
              <w:rPr>
                <w:noProof/>
                <w:webHidden/>
              </w:rPr>
              <w:instrText xml:space="preserve"> PAGEREF _Toc92084383 \h </w:instrText>
            </w:r>
            <w:r w:rsidR="006C12E8">
              <w:rPr>
                <w:noProof/>
                <w:webHidden/>
              </w:rPr>
            </w:r>
            <w:r w:rsidR="006C12E8">
              <w:rPr>
                <w:noProof/>
                <w:webHidden/>
              </w:rPr>
              <w:fldChar w:fldCharType="separate"/>
            </w:r>
            <w:r w:rsidR="006C12E8">
              <w:rPr>
                <w:noProof/>
                <w:webHidden/>
              </w:rPr>
              <w:t>25</w:t>
            </w:r>
            <w:r w:rsidR="006C12E8">
              <w:rPr>
                <w:noProof/>
                <w:webHidden/>
              </w:rPr>
              <w:fldChar w:fldCharType="end"/>
            </w:r>
          </w:hyperlink>
        </w:p>
        <w:p w14:paraId="167551C6" w14:textId="13CCC9AC"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4" w:history="1">
            <w:r w:rsidR="006C12E8" w:rsidRPr="00A37913">
              <w:rPr>
                <w:rStyle w:val="Hyperlink"/>
                <w:noProof/>
              </w:rPr>
              <w:t>SARA Project:</w:t>
            </w:r>
            <w:r w:rsidR="006C12E8">
              <w:rPr>
                <w:noProof/>
                <w:webHidden/>
              </w:rPr>
              <w:tab/>
            </w:r>
            <w:r w:rsidR="006C12E8">
              <w:rPr>
                <w:noProof/>
                <w:webHidden/>
              </w:rPr>
              <w:fldChar w:fldCharType="begin"/>
            </w:r>
            <w:r w:rsidR="006C12E8">
              <w:rPr>
                <w:noProof/>
                <w:webHidden/>
              </w:rPr>
              <w:instrText xml:space="preserve"> PAGEREF _Toc92084384 \h </w:instrText>
            </w:r>
            <w:r w:rsidR="006C12E8">
              <w:rPr>
                <w:noProof/>
                <w:webHidden/>
              </w:rPr>
            </w:r>
            <w:r w:rsidR="006C12E8">
              <w:rPr>
                <w:noProof/>
                <w:webHidden/>
              </w:rPr>
              <w:fldChar w:fldCharType="separate"/>
            </w:r>
            <w:r w:rsidR="006C12E8">
              <w:rPr>
                <w:noProof/>
                <w:webHidden/>
              </w:rPr>
              <w:t>28</w:t>
            </w:r>
            <w:r w:rsidR="006C12E8">
              <w:rPr>
                <w:noProof/>
                <w:webHidden/>
              </w:rPr>
              <w:fldChar w:fldCharType="end"/>
            </w:r>
          </w:hyperlink>
        </w:p>
        <w:p w14:paraId="2DCED1CD" w14:textId="6E25F482"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5" w:history="1">
            <w:r w:rsidR="006C12E8" w:rsidRPr="00A37913">
              <w:rPr>
                <w:rStyle w:val="Hyperlink"/>
                <w:noProof/>
              </w:rPr>
              <w:t>Employment First Systems Change Project:</w:t>
            </w:r>
            <w:r w:rsidR="006C12E8">
              <w:rPr>
                <w:noProof/>
                <w:webHidden/>
              </w:rPr>
              <w:tab/>
            </w:r>
            <w:r w:rsidR="006C12E8">
              <w:rPr>
                <w:noProof/>
                <w:webHidden/>
              </w:rPr>
              <w:fldChar w:fldCharType="begin"/>
            </w:r>
            <w:r w:rsidR="006C12E8">
              <w:rPr>
                <w:noProof/>
                <w:webHidden/>
              </w:rPr>
              <w:instrText xml:space="preserve"> PAGEREF _Toc92084385 \h </w:instrText>
            </w:r>
            <w:r w:rsidR="006C12E8">
              <w:rPr>
                <w:noProof/>
                <w:webHidden/>
              </w:rPr>
            </w:r>
            <w:r w:rsidR="006C12E8">
              <w:rPr>
                <w:noProof/>
                <w:webHidden/>
              </w:rPr>
              <w:fldChar w:fldCharType="separate"/>
            </w:r>
            <w:r w:rsidR="006C12E8">
              <w:rPr>
                <w:noProof/>
                <w:webHidden/>
              </w:rPr>
              <w:t>30</w:t>
            </w:r>
            <w:r w:rsidR="006C12E8">
              <w:rPr>
                <w:noProof/>
                <w:webHidden/>
              </w:rPr>
              <w:fldChar w:fldCharType="end"/>
            </w:r>
          </w:hyperlink>
        </w:p>
        <w:p w14:paraId="72537A24" w14:textId="4486CDC4"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6" w:history="1">
            <w:r w:rsidR="006C12E8" w:rsidRPr="00A37913">
              <w:rPr>
                <w:rStyle w:val="Hyperlink"/>
                <w:noProof/>
              </w:rPr>
              <w:t>Part 2: Significant program outcomes for Year One</w:t>
            </w:r>
            <w:r w:rsidR="006C12E8">
              <w:rPr>
                <w:noProof/>
                <w:webHidden/>
              </w:rPr>
              <w:tab/>
            </w:r>
            <w:r w:rsidR="006C12E8">
              <w:rPr>
                <w:noProof/>
                <w:webHidden/>
              </w:rPr>
              <w:fldChar w:fldCharType="begin"/>
            </w:r>
            <w:r w:rsidR="006C12E8">
              <w:rPr>
                <w:noProof/>
                <w:webHidden/>
              </w:rPr>
              <w:instrText xml:space="preserve"> PAGEREF _Toc92084386 \h </w:instrText>
            </w:r>
            <w:r w:rsidR="006C12E8">
              <w:rPr>
                <w:noProof/>
                <w:webHidden/>
              </w:rPr>
            </w:r>
            <w:r w:rsidR="006C12E8">
              <w:rPr>
                <w:noProof/>
                <w:webHidden/>
              </w:rPr>
              <w:fldChar w:fldCharType="separate"/>
            </w:r>
            <w:r w:rsidR="006C12E8">
              <w:rPr>
                <w:noProof/>
                <w:webHidden/>
              </w:rPr>
              <w:t>30</w:t>
            </w:r>
            <w:r w:rsidR="006C12E8">
              <w:rPr>
                <w:noProof/>
                <w:webHidden/>
              </w:rPr>
              <w:fldChar w:fldCharType="end"/>
            </w:r>
          </w:hyperlink>
        </w:p>
        <w:p w14:paraId="07819AA9" w14:textId="593E53DD"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7" w:history="1">
            <w:r w:rsidR="006C12E8" w:rsidRPr="00A37913">
              <w:rPr>
                <w:rStyle w:val="Hyperlink"/>
                <w:noProof/>
              </w:rPr>
              <w:t>Part 3: Significant program activities, outputs, products and outcomes anticipated in Year 2:</w:t>
            </w:r>
            <w:r w:rsidR="006C12E8">
              <w:rPr>
                <w:noProof/>
                <w:webHidden/>
              </w:rPr>
              <w:tab/>
            </w:r>
            <w:r w:rsidR="006C12E8">
              <w:rPr>
                <w:noProof/>
                <w:webHidden/>
              </w:rPr>
              <w:fldChar w:fldCharType="begin"/>
            </w:r>
            <w:r w:rsidR="006C12E8">
              <w:rPr>
                <w:noProof/>
                <w:webHidden/>
              </w:rPr>
              <w:instrText xml:space="preserve"> PAGEREF _Toc92084387 \h </w:instrText>
            </w:r>
            <w:r w:rsidR="006C12E8">
              <w:rPr>
                <w:noProof/>
                <w:webHidden/>
              </w:rPr>
            </w:r>
            <w:r w:rsidR="006C12E8">
              <w:rPr>
                <w:noProof/>
                <w:webHidden/>
              </w:rPr>
              <w:fldChar w:fldCharType="separate"/>
            </w:r>
            <w:r w:rsidR="006C12E8">
              <w:rPr>
                <w:noProof/>
                <w:webHidden/>
              </w:rPr>
              <w:t>33</w:t>
            </w:r>
            <w:r w:rsidR="006C12E8">
              <w:rPr>
                <w:noProof/>
                <w:webHidden/>
              </w:rPr>
              <w:fldChar w:fldCharType="end"/>
            </w:r>
          </w:hyperlink>
        </w:p>
        <w:p w14:paraId="1217084F" w14:textId="58ABD8A2"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8" w:history="1">
            <w:r w:rsidR="006C12E8" w:rsidRPr="00A37913">
              <w:rPr>
                <w:rStyle w:val="Hyperlink"/>
                <w:noProof/>
              </w:rPr>
              <w:t>Part 4: Challenges, opportunities and emerging issues</w:t>
            </w:r>
            <w:r w:rsidR="006C12E8">
              <w:rPr>
                <w:noProof/>
                <w:webHidden/>
              </w:rPr>
              <w:tab/>
            </w:r>
            <w:r w:rsidR="006C12E8">
              <w:rPr>
                <w:noProof/>
                <w:webHidden/>
              </w:rPr>
              <w:fldChar w:fldCharType="begin"/>
            </w:r>
            <w:r w:rsidR="006C12E8">
              <w:rPr>
                <w:noProof/>
                <w:webHidden/>
              </w:rPr>
              <w:instrText xml:space="preserve"> PAGEREF _Toc92084388 \h </w:instrText>
            </w:r>
            <w:r w:rsidR="006C12E8">
              <w:rPr>
                <w:noProof/>
                <w:webHidden/>
              </w:rPr>
            </w:r>
            <w:r w:rsidR="006C12E8">
              <w:rPr>
                <w:noProof/>
                <w:webHidden/>
              </w:rPr>
              <w:fldChar w:fldCharType="separate"/>
            </w:r>
            <w:r w:rsidR="006C12E8">
              <w:rPr>
                <w:noProof/>
                <w:webHidden/>
              </w:rPr>
              <w:t>34</w:t>
            </w:r>
            <w:r w:rsidR="006C12E8">
              <w:rPr>
                <w:noProof/>
                <w:webHidden/>
              </w:rPr>
              <w:fldChar w:fldCharType="end"/>
            </w:r>
          </w:hyperlink>
        </w:p>
        <w:p w14:paraId="18A67A0C" w14:textId="6997D5F2" w:rsidR="006C12E8" w:rsidRDefault="00000000">
          <w:pPr>
            <w:pStyle w:val="TOC2"/>
            <w:tabs>
              <w:tab w:val="right" w:leader="dot" w:pos="10790"/>
            </w:tabs>
            <w:rPr>
              <w:rFonts w:asciiTheme="minorHAnsi" w:eastAsiaTheme="minorEastAsia" w:hAnsiTheme="minorHAnsi" w:cstheme="minorBidi"/>
              <w:noProof/>
              <w:sz w:val="22"/>
              <w:szCs w:val="22"/>
            </w:rPr>
          </w:pPr>
          <w:hyperlink w:anchor="_Toc92084389" w:history="1">
            <w:r w:rsidR="006C12E8" w:rsidRPr="00A37913">
              <w:rPr>
                <w:rStyle w:val="Hyperlink"/>
                <w:noProof/>
              </w:rPr>
              <w:t>Part 5: COVID-19 Impact</w:t>
            </w:r>
            <w:r w:rsidR="006C12E8">
              <w:rPr>
                <w:noProof/>
                <w:webHidden/>
              </w:rPr>
              <w:tab/>
            </w:r>
            <w:r w:rsidR="006C12E8">
              <w:rPr>
                <w:noProof/>
                <w:webHidden/>
              </w:rPr>
              <w:fldChar w:fldCharType="begin"/>
            </w:r>
            <w:r w:rsidR="006C12E8">
              <w:rPr>
                <w:noProof/>
                <w:webHidden/>
              </w:rPr>
              <w:instrText xml:space="preserve"> PAGEREF _Toc92084389 \h </w:instrText>
            </w:r>
            <w:r w:rsidR="006C12E8">
              <w:rPr>
                <w:noProof/>
                <w:webHidden/>
              </w:rPr>
            </w:r>
            <w:r w:rsidR="006C12E8">
              <w:rPr>
                <w:noProof/>
                <w:webHidden/>
              </w:rPr>
              <w:fldChar w:fldCharType="separate"/>
            </w:r>
            <w:r w:rsidR="006C12E8">
              <w:rPr>
                <w:noProof/>
                <w:webHidden/>
              </w:rPr>
              <w:t>34</w:t>
            </w:r>
            <w:r w:rsidR="006C12E8">
              <w:rPr>
                <w:noProof/>
                <w:webHidden/>
              </w:rPr>
              <w:fldChar w:fldCharType="end"/>
            </w:r>
          </w:hyperlink>
        </w:p>
        <w:p w14:paraId="45A4CC71" w14:textId="74F40222"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90" w:history="1">
            <w:r w:rsidR="006C12E8" w:rsidRPr="00A37913">
              <w:rPr>
                <w:rStyle w:val="Hyperlink"/>
                <w:noProof/>
              </w:rPr>
              <w:t>Section B: Work Plan</w:t>
            </w:r>
            <w:r w:rsidR="006C12E8">
              <w:rPr>
                <w:noProof/>
                <w:webHidden/>
              </w:rPr>
              <w:tab/>
            </w:r>
            <w:r w:rsidR="006C12E8">
              <w:rPr>
                <w:noProof/>
                <w:webHidden/>
              </w:rPr>
              <w:fldChar w:fldCharType="begin"/>
            </w:r>
            <w:r w:rsidR="006C12E8">
              <w:rPr>
                <w:noProof/>
                <w:webHidden/>
              </w:rPr>
              <w:instrText xml:space="preserve"> PAGEREF _Toc92084390 \h </w:instrText>
            </w:r>
            <w:r w:rsidR="006C12E8">
              <w:rPr>
                <w:noProof/>
                <w:webHidden/>
              </w:rPr>
            </w:r>
            <w:r w:rsidR="006C12E8">
              <w:rPr>
                <w:noProof/>
                <w:webHidden/>
              </w:rPr>
              <w:fldChar w:fldCharType="separate"/>
            </w:r>
            <w:r w:rsidR="006C12E8">
              <w:rPr>
                <w:noProof/>
                <w:webHidden/>
              </w:rPr>
              <w:t>34</w:t>
            </w:r>
            <w:r w:rsidR="006C12E8">
              <w:rPr>
                <w:noProof/>
                <w:webHidden/>
              </w:rPr>
              <w:fldChar w:fldCharType="end"/>
            </w:r>
          </w:hyperlink>
        </w:p>
        <w:p w14:paraId="5E43D9B9" w14:textId="3E259058" w:rsidR="006C12E8" w:rsidRDefault="00000000">
          <w:pPr>
            <w:pStyle w:val="TOC1"/>
            <w:tabs>
              <w:tab w:val="right" w:leader="dot" w:pos="10790"/>
            </w:tabs>
            <w:rPr>
              <w:rFonts w:asciiTheme="minorHAnsi" w:eastAsiaTheme="minorEastAsia" w:hAnsiTheme="minorHAnsi" w:cstheme="minorBidi"/>
              <w:noProof/>
              <w:sz w:val="22"/>
              <w:szCs w:val="22"/>
            </w:rPr>
          </w:pPr>
          <w:hyperlink w:anchor="_Toc92084391" w:history="1">
            <w:r w:rsidR="006C12E8" w:rsidRPr="00A37913">
              <w:rPr>
                <w:rStyle w:val="Hyperlink"/>
                <w:noProof/>
              </w:rPr>
              <w:t>Section C: Budget</w:t>
            </w:r>
            <w:r w:rsidR="006C12E8">
              <w:rPr>
                <w:noProof/>
                <w:webHidden/>
              </w:rPr>
              <w:tab/>
            </w:r>
            <w:r w:rsidR="006C12E8">
              <w:rPr>
                <w:noProof/>
                <w:webHidden/>
              </w:rPr>
              <w:fldChar w:fldCharType="begin"/>
            </w:r>
            <w:r w:rsidR="006C12E8">
              <w:rPr>
                <w:noProof/>
                <w:webHidden/>
              </w:rPr>
              <w:instrText xml:space="preserve"> PAGEREF _Toc92084391 \h </w:instrText>
            </w:r>
            <w:r w:rsidR="006C12E8">
              <w:rPr>
                <w:noProof/>
                <w:webHidden/>
              </w:rPr>
            </w:r>
            <w:r w:rsidR="006C12E8">
              <w:rPr>
                <w:noProof/>
                <w:webHidden/>
              </w:rPr>
              <w:fldChar w:fldCharType="separate"/>
            </w:r>
            <w:r w:rsidR="006C12E8">
              <w:rPr>
                <w:noProof/>
                <w:webHidden/>
              </w:rPr>
              <w:t>34</w:t>
            </w:r>
            <w:r w:rsidR="006C12E8">
              <w:rPr>
                <w:noProof/>
                <w:webHidden/>
              </w:rPr>
              <w:fldChar w:fldCharType="end"/>
            </w:r>
          </w:hyperlink>
        </w:p>
        <w:p w14:paraId="26DC5176" w14:textId="6C0483C4" w:rsidR="006E4029" w:rsidRDefault="006E4029">
          <w:r>
            <w:rPr>
              <w:b/>
              <w:bCs/>
              <w:noProof/>
            </w:rPr>
            <w:fldChar w:fldCharType="end"/>
          </w:r>
        </w:p>
      </w:sdtContent>
    </w:sdt>
    <w:p w14:paraId="44F54DB9" w14:textId="77777777" w:rsidR="00067F6C" w:rsidRDefault="00067F6C">
      <w:pPr>
        <w:spacing w:before="0" w:after="160"/>
        <w:rPr>
          <w:b/>
          <w:sz w:val="32"/>
        </w:rPr>
      </w:pPr>
      <w:r>
        <w:rPr>
          <w:b/>
          <w:sz w:val="32"/>
        </w:rPr>
        <w:br w:type="page"/>
      </w:r>
    </w:p>
    <w:p w14:paraId="241B53D0" w14:textId="3187E1FC" w:rsidR="00FB025B" w:rsidRDefault="003B1D7D" w:rsidP="008A3695">
      <w:pPr>
        <w:pStyle w:val="NoSpacing"/>
        <w:jc w:val="center"/>
        <w:rPr>
          <w:b/>
          <w:sz w:val="32"/>
        </w:rPr>
      </w:pPr>
      <w:r w:rsidRPr="00FB025B">
        <w:rPr>
          <w:b/>
          <w:sz w:val="32"/>
        </w:rPr>
        <w:lastRenderedPageBreak/>
        <w:t xml:space="preserve">Vocational Rehabilitation Technical Assistance Center for </w:t>
      </w:r>
    </w:p>
    <w:p w14:paraId="5AC69C68" w14:textId="341EFEA2" w:rsidR="00AA4CA9" w:rsidRPr="00FB025B" w:rsidRDefault="003B1D7D" w:rsidP="008A3695">
      <w:pPr>
        <w:pStyle w:val="NoSpacing"/>
        <w:jc w:val="center"/>
        <w:rPr>
          <w:b/>
          <w:sz w:val="32"/>
        </w:rPr>
      </w:pPr>
      <w:r w:rsidRPr="00FB025B">
        <w:rPr>
          <w:b/>
          <w:sz w:val="32"/>
        </w:rPr>
        <w:t>Quality Management</w:t>
      </w:r>
    </w:p>
    <w:p w14:paraId="106B3A58" w14:textId="28F657D2" w:rsidR="008A3695" w:rsidRPr="00FB025B" w:rsidRDefault="007D1C49" w:rsidP="008A3695">
      <w:pPr>
        <w:pStyle w:val="NoSpacing"/>
        <w:jc w:val="center"/>
        <w:rPr>
          <w:b/>
          <w:sz w:val="32"/>
        </w:rPr>
      </w:pPr>
      <w:r>
        <w:rPr>
          <w:b/>
          <w:sz w:val="32"/>
        </w:rPr>
        <w:t xml:space="preserve">End of Year </w:t>
      </w:r>
      <w:r w:rsidR="00351AB0">
        <w:rPr>
          <w:b/>
          <w:sz w:val="32"/>
        </w:rPr>
        <w:t xml:space="preserve">Annual </w:t>
      </w:r>
      <w:r>
        <w:rPr>
          <w:b/>
          <w:sz w:val="32"/>
        </w:rPr>
        <w:t xml:space="preserve">Performance </w:t>
      </w:r>
      <w:r w:rsidR="008A3695" w:rsidRPr="00FB025B">
        <w:rPr>
          <w:b/>
          <w:sz w:val="32"/>
        </w:rPr>
        <w:t>Report</w:t>
      </w:r>
    </w:p>
    <w:p w14:paraId="7CA9FF68" w14:textId="77777777" w:rsidR="008A3695" w:rsidRDefault="008A3695" w:rsidP="008A3695">
      <w:pPr>
        <w:pStyle w:val="NoSpacing"/>
      </w:pPr>
    </w:p>
    <w:p w14:paraId="20B836E3" w14:textId="77777777" w:rsidR="008A3695" w:rsidRDefault="008A3695" w:rsidP="008A3695">
      <w:pPr>
        <w:pStyle w:val="NoSpacing"/>
      </w:pPr>
      <w:r>
        <w:t>Name of individual filling out form:</w:t>
      </w:r>
      <w:r w:rsidR="00064BD7">
        <w:t xml:space="preserve"> Chaz Compton</w:t>
      </w:r>
    </w:p>
    <w:p w14:paraId="561E70EA" w14:textId="77777777" w:rsidR="008A3695" w:rsidRDefault="008A3695" w:rsidP="008A3695">
      <w:pPr>
        <w:pStyle w:val="NoSpacing"/>
      </w:pPr>
      <w:r>
        <w:t>Organization:</w:t>
      </w:r>
      <w:r w:rsidR="00064BD7">
        <w:t xml:space="preserve"> SDSU</w:t>
      </w:r>
      <w:r w:rsidR="003B1D7D">
        <w:t>RF</w:t>
      </w:r>
      <w:r w:rsidR="00064BD7">
        <w:t xml:space="preserve"> – Interwork Institute</w:t>
      </w:r>
    </w:p>
    <w:p w14:paraId="68DEA1AA" w14:textId="06763011" w:rsidR="008A3695" w:rsidRDefault="00351AB0" w:rsidP="008A3695">
      <w:pPr>
        <w:pStyle w:val="NoSpacing"/>
      </w:pPr>
      <w:r>
        <w:t>Annual</w:t>
      </w:r>
      <w:r w:rsidR="008A3695">
        <w:t xml:space="preserve"> report period:</w:t>
      </w:r>
      <w:r w:rsidR="00064BD7">
        <w:t xml:space="preserve"> </w:t>
      </w:r>
      <w:r w:rsidR="008B1488">
        <w:t>(</w:t>
      </w:r>
      <w:r>
        <w:t>Oct</w:t>
      </w:r>
      <w:r w:rsidR="007D1C49">
        <w:t>ober</w:t>
      </w:r>
      <w:r w:rsidR="008B1488">
        <w:t xml:space="preserve"> 1, 20</w:t>
      </w:r>
      <w:r w:rsidR="003B1D7D">
        <w:t>2</w:t>
      </w:r>
      <w:r w:rsidR="007D1C49">
        <w:t>0</w:t>
      </w:r>
      <w:r w:rsidR="008B1488">
        <w:t xml:space="preserve"> – </w:t>
      </w:r>
      <w:r w:rsidR="007D1C49">
        <w:t>September 30</w:t>
      </w:r>
      <w:r w:rsidR="008B1488">
        <w:t>, 20</w:t>
      </w:r>
      <w:r w:rsidR="003B1D7D">
        <w:t>2</w:t>
      </w:r>
      <w:r w:rsidR="00283BBB">
        <w:t>1</w:t>
      </w:r>
      <w:r w:rsidR="008B1488">
        <w:t>)</w:t>
      </w:r>
    </w:p>
    <w:p w14:paraId="3FECDCBC" w14:textId="012D38DE" w:rsidR="008A3695" w:rsidRDefault="008A3695" w:rsidP="008A3695">
      <w:pPr>
        <w:pStyle w:val="NoSpacing"/>
      </w:pPr>
      <w:r>
        <w:t>Date submitted:</w:t>
      </w:r>
      <w:r w:rsidR="00064BD7">
        <w:t xml:space="preserve"> </w:t>
      </w:r>
      <w:r w:rsidR="007D1C49">
        <w:t>December</w:t>
      </w:r>
      <w:r w:rsidR="00283BBB">
        <w:t xml:space="preserve"> 30</w:t>
      </w:r>
      <w:r w:rsidR="003B1D7D">
        <w:t>, 2021</w:t>
      </w:r>
    </w:p>
    <w:p w14:paraId="7CDCFA4D" w14:textId="342901F1" w:rsidR="00D4197A" w:rsidRDefault="00D4197A" w:rsidP="00D4197A">
      <w:pPr>
        <w:pStyle w:val="Heading1"/>
        <w:spacing w:before="360" w:after="240"/>
      </w:pPr>
      <w:bookmarkStart w:id="1" w:name="_Toc92084365"/>
      <w:r w:rsidRPr="0045221A">
        <w:t xml:space="preserve">Section </w:t>
      </w:r>
      <w:r w:rsidR="00351AB0">
        <w:t>A</w:t>
      </w:r>
      <w:r w:rsidRPr="0045221A">
        <w:t xml:space="preserve">: </w:t>
      </w:r>
      <w:r w:rsidR="00860784">
        <w:t>Substantial p</w:t>
      </w:r>
      <w:r w:rsidR="00D725C7" w:rsidRPr="00D725C7">
        <w:t>rogress toward completion of goals, objectives, and outputs</w:t>
      </w:r>
      <w:bookmarkEnd w:id="1"/>
    </w:p>
    <w:p w14:paraId="0A8C0CCD" w14:textId="740E2441" w:rsidR="007D3F23" w:rsidRDefault="007D3F23" w:rsidP="00D4197A">
      <w:pPr>
        <w:pStyle w:val="Heading2"/>
      </w:pPr>
      <w:bookmarkStart w:id="2" w:name="_Toc92084366"/>
      <w:r>
        <w:t>Part 1: Program activities, outputs, and products</w:t>
      </w:r>
      <w:bookmarkEnd w:id="2"/>
    </w:p>
    <w:p w14:paraId="492A9783" w14:textId="20EEF725" w:rsidR="00D4197A" w:rsidRDefault="00F41A7A" w:rsidP="00D4197A">
      <w:pPr>
        <w:pStyle w:val="Heading2"/>
      </w:pPr>
      <w:bookmarkStart w:id="3" w:name="_Toc92084367"/>
      <w:r w:rsidRPr="00F41A7A">
        <w:t>Intensive TA agreement development and progress on activities, outputs, and outcomes</w:t>
      </w:r>
      <w:r w:rsidR="00D4197A">
        <w:t>:</w:t>
      </w:r>
      <w:bookmarkEnd w:id="3"/>
    </w:p>
    <w:p w14:paraId="46EA584D" w14:textId="3094B415" w:rsidR="00D061B7" w:rsidRDefault="00D061B7" w:rsidP="00B2046A">
      <w:pPr>
        <w:spacing w:before="240"/>
        <w:rPr>
          <w:bCs/>
        </w:rPr>
      </w:pPr>
      <w:proofErr w:type="gramStart"/>
      <w:r>
        <w:rPr>
          <w:bCs/>
        </w:rPr>
        <w:t>All of</w:t>
      </w:r>
      <w:proofErr w:type="gramEnd"/>
      <w:r>
        <w:rPr>
          <w:bCs/>
        </w:rPr>
        <w:t xml:space="preserve"> the intensive TA agreements (ITAAs) developed with SVRAs are based</w:t>
      </w:r>
      <w:r w:rsidR="00067F6C">
        <w:rPr>
          <w:bCs/>
        </w:rPr>
        <w:t xml:space="preserve"> </w:t>
      </w:r>
      <w:r>
        <w:rPr>
          <w:bCs/>
        </w:rPr>
        <w:t xml:space="preserve">on a logic model that drives the evaluation of the activities, outputs and outcomes. We developed a logic model for each of our focus areas that includes the most common activities, </w:t>
      </w:r>
      <w:proofErr w:type="gramStart"/>
      <w:r>
        <w:rPr>
          <w:bCs/>
        </w:rPr>
        <w:t>outputs</w:t>
      </w:r>
      <w:proofErr w:type="gramEnd"/>
      <w:r>
        <w:rPr>
          <w:bCs/>
        </w:rPr>
        <w:t xml:space="preserve"> and outcomes for each area. The logic models are living documents and can be modified, added </w:t>
      </w:r>
      <w:proofErr w:type="gramStart"/>
      <w:r>
        <w:rPr>
          <w:bCs/>
        </w:rPr>
        <w:t>to</w:t>
      </w:r>
      <w:proofErr w:type="gramEnd"/>
      <w:r>
        <w:rPr>
          <w:bCs/>
        </w:rPr>
        <w:t xml:space="preserve"> and changed as necessary. Below are the logic model activities, </w:t>
      </w:r>
      <w:proofErr w:type="gramStart"/>
      <w:r>
        <w:rPr>
          <w:bCs/>
        </w:rPr>
        <w:t>outputs</w:t>
      </w:r>
      <w:proofErr w:type="gramEnd"/>
      <w:r>
        <w:rPr>
          <w:bCs/>
        </w:rPr>
        <w:t xml:space="preserve"> and outcomes for each of our focus areas.</w:t>
      </w:r>
    </w:p>
    <w:p w14:paraId="2F5C74C9" w14:textId="6F63E48D" w:rsidR="00D061B7" w:rsidRDefault="00D061B7" w:rsidP="00746707">
      <w:pPr>
        <w:pStyle w:val="NoSpacing"/>
      </w:pPr>
      <w:r>
        <w:t xml:space="preserve">Table 1: Quality Fiscal and Resource Management Logic Model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061B7" w14:paraId="1038BD40" w14:textId="77777777" w:rsidTr="004C5AAC">
        <w:tc>
          <w:tcPr>
            <w:tcW w:w="4675" w:type="dxa"/>
            <w:shd w:val="clear" w:color="auto" w:fill="D9E2F3"/>
          </w:tcPr>
          <w:p w14:paraId="1AD1118C" w14:textId="77777777" w:rsidR="00D061B7" w:rsidRPr="00450458" w:rsidRDefault="00D061B7" w:rsidP="00FD4983">
            <w:pPr>
              <w:pBdr>
                <w:top w:val="nil"/>
                <w:left w:val="nil"/>
                <w:bottom w:val="nil"/>
                <w:right w:val="nil"/>
                <w:between w:val="nil"/>
              </w:pBdr>
              <w:ind w:left="720"/>
              <w:jc w:val="center"/>
              <w:rPr>
                <w:b/>
                <w:color w:val="000000"/>
              </w:rPr>
            </w:pPr>
            <w:r w:rsidRPr="00450458">
              <w:rPr>
                <w:rFonts w:eastAsia="Calibri"/>
                <w:b/>
                <w:color w:val="000000"/>
              </w:rPr>
              <w:t>ACTIVITIES</w:t>
            </w:r>
          </w:p>
        </w:tc>
        <w:tc>
          <w:tcPr>
            <w:tcW w:w="4675" w:type="dxa"/>
            <w:shd w:val="clear" w:color="auto" w:fill="D9E2F3"/>
          </w:tcPr>
          <w:p w14:paraId="619AF1BD" w14:textId="77777777" w:rsidR="00D061B7" w:rsidRPr="00450458" w:rsidRDefault="00D061B7" w:rsidP="00FD4983">
            <w:pPr>
              <w:jc w:val="center"/>
              <w:rPr>
                <w:b/>
              </w:rPr>
            </w:pPr>
            <w:r w:rsidRPr="00450458">
              <w:rPr>
                <w:b/>
              </w:rPr>
              <w:t>OUTPUTS</w:t>
            </w:r>
          </w:p>
        </w:tc>
      </w:tr>
      <w:tr w:rsidR="00D061B7" w14:paraId="6CB33084" w14:textId="77777777" w:rsidTr="00FD4983">
        <w:tc>
          <w:tcPr>
            <w:tcW w:w="4675" w:type="dxa"/>
            <w:vAlign w:val="center"/>
          </w:tcPr>
          <w:p w14:paraId="6BC0EEB4" w14:textId="77777777" w:rsidR="00D061B7" w:rsidRPr="00236D6F" w:rsidRDefault="00D061B7" w:rsidP="00FD4983">
            <w:pPr>
              <w:pStyle w:val="NoSpacing"/>
            </w:pPr>
            <w:r w:rsidRPr="00236D6F">
              <w:t>Review, develop, and/or revise, as needed, policies and procedures for (insert VR fiscal topic).</w:t>
            </w:r>
          </w:p>
        </w:tc>
        <w:tc>
          <w:tcPr>
            <w:tcW w:w="4675" w:type="dxa"/>
            <w:vAlign w:val="center"/>
          </w:tcPr>
          <w:p w14:paraId="639260E8" w14:textId="77777777" w:rsidR="00D061B7" w:rsidRPr="00236D6F" w:rsidRDefault="00D061B7" w:rsidP="00FD4983">
            <w:pPr>
              <w:pStyle w:val="NoSpacing"/>
              <w:rPr>
                <w:color w:val="000000"/>
              </w:rPr>
            </w:pPr>
            <w:r w:rsidRPr="00236D6F">
              <w:rPr>
                <w:color w:val="000000"/>
              </w:rPr>
              <w:t>Completed draft/revised policies and procedures recommendations for (insert VR fiscal topic)</w:t>
            </w:r>
          </w:p>
          <w:p w14:paraId="019C8551" w14:textId="77777777" w:rsidR="00D061B7" w:rsidRPr="00236D6F" w:rsidRDefault="00D061B7" w:rsidP="00FD4983">
            <w:pPr>
              <w:pStyle w:val="NoSpacing"/>
            </w:pPr>
          </w:p>
        </w:tc>
      </w:tr>
      <w:tr w:rsidR="00D061B7" w14:paraId="21440E63" w14:textId="77777777" w:rsidTr="00FD4983">
        <w:tc>
          <w:tcPr>
            <w:tcW w:w="4675" w:type="dxa"/>
            <w:vAlign w:val="center"/>
          </w:tcPr>
          <w:p w14:paraId="31592BB8" w14:textId="77777777" w:rsidR="00D061B7" w:rsidRPr="00236D6F" w:rsidRDefault="00D061B7" w:rsidP="00FD4983">
            <w:pPr>
              <w:pStyle w:val="NoSpacing"/>
            </w:pPr>
            <w:r w:rsidRPr="00236D6F">
              <w:t>Review, develop and/or revise, as needed, written internal controls necessary for (insert VR fiscal topic).</w:t>
            </w:r>
          </w:p>
        </w:tc>
        <w:tc>
          <w:tcPr>
            <w:tcW w:w="4675" w:type="dxa"/>
            <w:vAlign w:val="center"/>
          </w:tcPr>
          <w:p w14:paraId="44EF0949" w14:textId="77777777" w:rsidR="00D061B7" w:rsidRPr="00236D6F" w:rsidRDefault="00D061B7" w:rsidP="00FD4983">
            <w:pPr>
              <w:pStyle w:val="NoSpacing"/>
              <w:rPr>
                <w:color w:val="000000"/>
              </w:rPr>
            </w:pPr>
            <w:r w:rsidRPr="00236D6F">
              <w:rPr>
                <w:color w:val="000000"/>
              </w:rPr>
              <w:t>Completed draft/revised written internal controls recommendations for (insert VR fiscal topic).</w:t>
            </w:r>
          </w:p>
        </w:tc>
      </w:tr>
      <w:tr w:rsidR="00D061B7" w14:paraId="767555C2" w14:textId="77777777" w:rsidTr="00FD4983">
        <w:tc>
          <w:tcPr>
            <w:tcW w:w="4675" w:type="dxa"/>
            <w:vAlign w:val="center"/>
          </w:tcPr>
          <w:p w14:paraId="4AE8AFC6" w14:textId="77777777" w:rsidR="00D061B7" w:rsidRPr="00236D6F" w:rsidRDefault="00D061B7" w:rsidP="00FD4983">
            <w:pPr>
              <w:pStyle w:val="NoSpacing"/>
            </w:pPr>
            <w:r w:rsidRPr="00236D6F">
              <w:t xml:space="preserve">Review and analyze the VR agency’s fiscal management and operations to assist leadership with development of an improvement plan for (insert VR fiscal topic). </w:t>
            </w:r>
          </w:p>
        </w:tc>
        <w:tc>
          <w:tcPr>
            <w:tcW w:w="4675" w:type="dxa"/>
            <w:vAlign w:val="center"/>
          </w:tcPr>
          <w:p w14:paraId="5BAC2787" w14:textId="77777777" w:rsidR="00D061B7" w:rsidRPr="00236D6F" w:rsidRDefault="00D061B7" w:rsidP="00FD4983">
            <w:pPr>
              <w:pStyle w:val="NoSpacing"/>
              <w:rPr>
                <w:color w:val="000000"/>
              </w:rPr>
            </w:pPr>
            <w:r w:rsidRPr="00236D6F">
              <w:rPr>
                <w:color w:val="000000"/>
              </w:rPr>
              <w:t>Completed improvement plan for (insert VR fiscal topic).</w:t>
            </w:r>
          </w:p>
        </w:tc>
      </w:tr>
      <w:tr w:rsidR="00D061B7" w14:paraId="42B745F7" w14:textId="77777777" w:rsidTr="00FD4983">
        <w:tc>
          <w:tcPr>
            <w:tcW w:w="4675" w:type="dxa"/>
            <w:vAlign w:val="center"/>
          </w:tcPr>
          <w:p w14:paraId="0E67ED03" w14:textId="77777777" w:rsidR="00D061B7" w:rsidRPr="00236D6F" w:rsidRDefault="00D061B7" w:rsidP="00FD4983">
            <w:pPr>
              <w:pStyle w:val="NoSpacing"/>
              <w:rPr>
                <w:color w:val="000000"/>
              </w:rPr>
            </w:pPr>
            <w:r w:rsidRPr="00236D6F">
              <w:rPr>
                <w:color w:val="000000"/>
              </w:rPr>
              <w:t>Assist in developing strategies and response to requirements identified in the RSA Monitoring Corrective Action Plan (CAP).</w:t>
            </w:r>
          </w:p>
        </w:tc>
        <w:tc>
          <w:tcPr>
            <w:tcW w:w="4675" w:type="dxa"/>
            <w:vAlign w:val="center"/>
          </w:tcPr>
          <w:p w14:paraId="43FC578B" w14:textId="77777777" w:rsidR="00D061B7" w:rsidRPr="00236D6F" w:rsidRDefault="00D061B7" w:rsidP="00FD4983">
            <w:pPr>
              <w:pStyle w:val="NoSpacing"/>
              <w:rPr>
                <w:color w:val="000000"/>
              </w:rPr>
            </w:pPr>
            <w:r w:rsidRPr="00236D6F">
              <w:rPr>
                <w:color w:val="000000"/>
              </w:rPr>
              <w:t xml:space="preserve">Completed draft/revised CAP strategy and response recommendations.  </w:t>
            </w:r>
          </w:p>
        </w:tc>
      </w:tr>
      <w:tr w:rsidR="00D061B7" w14:paraId="3A84C128" w14:textId="77777777" w:rsidTr="00FD4983">
        <w:tc>
          <w:tcPr>
            <w:tcW w:w="4675" w:type="dxa"/>
            <w:vAlign w:val="center"/>
          </w:tcPr>
          <w:p w14:paraId="0C03DFBD" w14:textId="77777777" w:rsidR="00D061B7" w:rsidRPr="00236D6F" w:rsidRDefault="00D061B7" w:rsidP="00FD4983">
            <w:pPr>
              <w:pStyle w:val="NoSpacing"/>
              <w:rPr>
                <w:color w:val="000000"/>
              </w:rPr>
            </w:pPr>
            <w:r w:rsidRPr="00236D6F">
              <w:rPr>
                <w:color w:val="000000"/>
              </w:rPr>
              <w:t>Develop a work plan to execute an identified strategy identified in the CAP.</w:t>
            </w:r>
          </w:p>
        </w:tc>
        <w:tc>
          <w:tcPr>
            <w:tcW w:w="4675" w:type="dxa"/>
            <w:vAlign w:val="center"/>
          </w:tcPr>
          <w:p w14:paraId="0BAB0252" w14:textId="77777777" w:rsidR="00D061B7" w:rsidRPr="00236D6F" w:rsidRDefault="00D061B7" w:rsidP="00FD4983">
            <w:pPr>
              <w:pStyle w:val="NoSpacing"/>
              <w:rPr>
                <w:color w:val="000000"/>
              </w:rPr>
            </w:pPr>
            <w:r w:rsidRPr="00236D6F">
              <w:rPr>
                <w:color w:val="000000"/>
              </w:rPr>
              <w:t>Completed work plan with action steps and timelines.</w:t>
            </w:r>
          </w:p>
        </w:tc>
      </w:tr>
      <w:tr w:rsidR="00D061B7" w14:paraId="1A574AB2" w14:textId="77777777" w:rsidTr="00FD4983">
        <w:tc>
          <w:tcPr>
            <w:tcW w:w="4675" w:type="dxa"/>
            <w:vAlign w:val="center"/>
          </w:tcPr>
          <w:p w14:paraId="11F2EC4F" w14:textId="77777777" w:rsidR="00D061B7" w:rsidRPr="00236D6F" w:rsidRDefault="00D061B7" w:rsidP="00FD4983">
            <w:pPr>
              <w:pStyle w:val="NoSpacing"/>
              <w:rPr>
                <w:color w:val="000000"/>
              </w:rPr>
            </w:pPr>
            <w:r w:rsidRPr="00236D6F">
              <w:rPr>
                <w:color w:val="000000"/>
              </w:rPr>
              <w:t>Assist VR Administration in identifying fiscal areas in need of improvement and training.</w:t>
            </w:r>
          </w:p>
        </w:tc>
        <w:tc>
          <w:tcPr>
            <w:tcW w:w="4675" w:type="dxa"/>
            <w:vAlign w:val="center"/>
          </w:tcPr>
          <w:p w14:paraId="2F603ED5" w14:textId="77777777" w:rsidR="00D061B7" w:rsidRPr="00236D6F" w:rsidRDefault="00D061B7" w:rsidP="00FD4983">
            <w:pPr>
              <w:pStyle w:val="NoSpacing"/>
              <w:rPr>
                <w:color w:val="000000"/>
              </w:rPr>
            </w:pPr>
            <w:r w:rsidRPr="00236D6F">
              <w:rPr>
                <w:color w:val="000000"/>
              </w:rPr>
              <w:t>Completed plan with identified implementation needs and training.</w:t>
            </w:r>
          </w:p>
        </w:tc>
      </w:tr>
      <w:tr w:rsidR="004C5AAC" w14:paraId="7DA4FE2A" w14:textId="77777777" w:rsidTr="00FD4983">
        <w:tc>
          <w:tcPr>
            <w:tcW w:w="4675" w:type="dxa"/>
            <w:shd w:val="clear" w:color="auto" w:fill="D9E2F3"/>
          </w:tcPr>
          <w:p w14:paraId="47951041" w14:textId="77777777" w:rsidR="004C5AAC" w:rsidRPr="00450458" w:rsidRDefault="004C5AAC" w:rsidP="00FD4983">
            <w:pPr>
              <w:pBdr>
                <w:top w:val="nil"/>
                <w:left w:val="nil"/>
                <w:bottom w:val="nil"/>
                <w:right w:val="nil"/>
                <w:between w:val="nil"/>
              </w:pBdr>
              <w:ind w:left="720"/>
              <w:jc w:val="center"/>
              <w:rPr>
                <w:b/>
                <w:color w:val="000000"/>
              </w:rPr>
            </w:pPr>
            <w:r w:rsidRPr="00450458">
              <w:rPr>
                <w:rFonts w:eastAsia="Calibri"/>
                <w:b/>
                <w:color w:val="000000"/>
              </w:rPr>
              <w:t>ACTIVITIES</w:t>
            </w:r>
          </w:p>
        </w:tc>
        <w:tc>
          <w:tcPr>
            <w:tcW w:w="4675" w:type="dxa"/>
            <w:shd w:val="clear" w:color="auto" w:fill="D9E2F3"/>
          </w:tcPr>
          <w:p w14:paraId="3C9D67D4" w14:textId="77777777" w:rsidR="004C5AAC" w:rsidRPr="00450458" w:rsidRDefault="004C5AAC" w:rsidP="00FD4983">
            <w:pPr>
              <w:jc w:val="center"/>
              <w:rPr>
                <w:b/>
              </w:rPr>
            </w:pPr>
            <w:r w:rsidRPr="00450458">
              <w:rPr>
                <w:b/>
              </w:rPr>
              <w:t>OUTPUTS</w:t>
            </w:r>
          </w:p>
        </w:tc>
      </w:tr>
      <w:tr w:rsidR="00D061B7" w14:paraId="14B74247" w14:textId="77777777" w:rsidTr="00FD4983">
        <w:tc>
          <w:tcPr>
            <w:tcW w:w="4675" w:type="dxa"/>
            <w:vAlign w:val="center"/>
          </w:tcPr>
          <w:p w14:paraId="21D955EC" w14:textId="77777777" w:rsidR="00D061B7" w:rsidRPr="00236D6F" w:rsidRDefault="00D061B7" w:rsidP="00FD4983">
            <w:pPr>
              <w:pStyle w:val="NoSpacing"/>
              <w:rPr>
                <w:color w:val="000000"/>
              </w:rPr>
            </w:pPr>
            <w:r w:rsidRPr="00236D6F">
              <w:rPr>
                <w:color w:val="000000"/>
              </w:rPr>
              <w:t>Assist agency to develop and implement an internal fiscal monitoring process</w:t>
            </w:r>
          </w:p>
        </w:tc>
        <w:tc>
          <w:tcPr>
            <w:tcW w:w="4675" w:type="dxa"/>
            <w:vAlign w:val="center"/>
          </w:tcPr>
          <w:p w14:paraId="29C20E9C" w14:textId="77777777" w:rsidR="00D061B7" w:rsidRPr="00236D6F" w:rsidRDefault="00D061B7" w:rsidP="00FD4983">
            <w:pPr>
              <w:pStyle w:val="NoSpacing"/>
              <w:rPr>
                <w:color w:val="000000"/>
              </w:rPr>
            </w:pPr>
            <w:r w:rsidRPr="00236D6F">
              <w:rPr>
                <w:color w:val="000000"/>
              </w:rPr>
              <w:t>The establishment of an internal monitoring process with areas of review identified and timelines for regular completion</w:t>
            </w:r>
          </w:p>
        </w:tc>
      </w:tr>
      <w:tr w:rsidR="00D061B7" w14:paraId="01FD9FA3" w14:textId="77777777" w:rsidTr="00FD4983">
        <w:tc>
          <w:tcPr>
            <w:tcW w:w="4675" w:type="dxa"/>
            <w:vAlign w:val="center"/>
          </w:tcPr>
          <w:p w14:paraId="55765BD5" w14:textId="77777777" w:rsidR="00D061B7" w:rsidRPr="00236D6F" w:rsidRDefault="00D061B7" w:rsidP="00FD4983">
            <w:pPr>
              <w:pStyle w:val="NoSpacing"/>
              <w:rPr>
                <w:color w:val="000000"/>
              </w:rPr>
            </w:pPr>
            <w:r w:rsidRPr="00236D6F">
              <w:rPr>
                <w:color w:val="000000"/>
              </w:rPr>
              <w:lastRenderedPageBreak/>
              <w:t xml:space="preserve">Conduct training regarding </w:t>
            </w:r>
            <w:r w:rsidRPr="00236D6F">
              <w:rPr>
                <w:i/>
                <w:color w:val="000000"/>
              </w:rPr>
              <w:t>{insert topic, e.g., the fiscal requirements for managing the VR grant, D-RAAN, etc.}</w:t>
            </w:r>
            <w:r w:rsidRPr="00236D6F">
              <w:rPr>
                <w:color w:val="000000"/>
              </w:rPr>
              <w:t>.</w:t>
            </w:r>
          </w:p>
        </w:tc>
        <w:tc>
          <w:tcPr>
            <w:tcW w:w="4675" w:type="dxa"/>
            <w:vAlign w:val="center"/>
          </w:tcPr>
          <w:p w14:paraId="38ADE381" w14:textId="77777777" w:rsidR="00D061B7" w:rsidRPr="00236D6F" w:rsidRDefault="00D061B7" w:rsidP="00FD4983">
            <w:pPr>
              <w:pStyle w:val="NoSpacing"/>
              <w:rPr>
                <w:color w:val="000000"/>
              </w:rPr>
            </w:pPr>
            <w:r w:rsidRPr="00236D6F">
              <w:rPr>
                <w:color w:val="000000"/>
              </w:rPr>
              <w:t>The number of individuals that complete the training(s).</w:t>
            </w:r>
          </w:p>
        </w:tc>
      </w:tr>
      <w:tr w:rsidR="00D061B7" w14:paraId="01CCCEC6" w14:textId="77777777" w:rsidTr="00FD4983">
        <w:tc>
          <w:tcPr>
            <w:tcW w:w="4675" w:type="dxa"/>
            <w:vAlign w:val="center"/>
          </w:tcPr>
          <w:p w14:paraId="79E1E689" w14:textId="77777777" w:rsidR="00D061B7" w:rsidRPr="00236D6F" w:rsidRDefault="00D061B7" w:rsidP="00FD4983">
            <w:pPr>
              <w:pStyle w:val="NoSpacing"/>
              <w:rPr>
                <w:color w:val="000000"/>
              </w:rPr>
            </w:pPr>
            <w:r w:rsidRPr="00236D6F">
              <w:rPr>
                <w:color w:val="000000"/>
              </w:rPr>
              <w:t>Provide TA and training to develop the VR agency’s capacity to correctly manage period of performance (</w:t>
            </w:r>
            <w:r w:rsidRPr="00236D6F">
              <w:rPr>
                <w:i/>
                <w:color w:val="000000"/>
              </w:rPr>
              <w:t>insert</w:t>
            </w:r>
            <w:r w:rsidRPr="00236D6F">
              <w:rPr>
                <w:color w:val="000000"/>
              </w:rPr>
              <w:t>).</w:t>
            </w:r>
          </w:p>
        </w:tc>
        <w:tc>
          <w:tcPr>
            <w:tcW w:w="4675" w:type="dxa"/>
            <w:vAlign w:val="center"/>
          </w:tcPr>
          <w:p w14:paraId="6A560A0F" w14:textId="77777777" w:rsidR="00D061B7" w:rsidRPr="00236D6F" w:rsidRDefault="00D061B7" w:rsidP="00FD4983">
            <w:pPr>
              <w:pStyle w:val="NoSpacing"/>
              <w:rPr>
                <w:color w:val="000000"/>
              </w:rPr>
            </w:pPr>
            <w:r w:rsidRPr="00236D6F">
              <w:rPr>
                <w:color w:val="000000"/>
              </w:rPr>
              <w:t>The number of topics related to period of performance addressed in TA and training and the number of individuals that received the TA and training.</w:t>
            </w:r>
          </w:p>
        </w:tc>
      </w:tr>
      <w:tr w:rsidR="00D061B7" w14:paraId="00FE3FC6" w14:textId="77777777" w:rsidTr="00FD4983">
        <w:tc>
          <w:tcPr>
            <w:tcW w:w="4675" w:type="dxa"/>
            <w:vAlign w:val="center"/>
          </w:tcPr>
          <w:p w14:paraId="292535EF" w14:textId="77777777" w:rsidR="00D061B7" w:rsidRPr="00236D6F" w:rsidRDefault="00D061B7" w:rsidP="00FD4983">
            <w:pPr>
              <w:pStyle w:val="NoSpacing"/>
              <w:rPr>
                <w:color w:val="000000"/>
              </w:rPr>
            </w:pPr>
            <w:r w:rsidRPr="00236D6F">
              <w:rPr>
                <w:color w:val="000000"/>
              </w:rPr>
              <w:t>Review and analyze sources of VR agency’s non-federal share and its adherence to applicable match/MOE requirements and make recommendations for maximizing the Federal share.</w:t>
            </w:r>
          </w:p>
        </w:tc>
        <w:tc>
          <w:tcPr>
            <w:tcW w:w="4675" w:type="dxa"/>
            <w:vAlign w:val="center"/>
          </w:tcPr>
          <w:p w14:paraId="1392C78E" w14:textId="77777777" w:rsidR="00D061B7" w:rsidRPr="00236D6F" w:rsidRDefault="00D061B7" w:rsidP="00FD4983">
            <w:pPr>
              <w:pStyle w:val="NoSpacing"/>
              <w:rPr>
                <w:color w:val="000000"/>
              </w:rPr>
            </w:pPr>
            <w:r w:rsidRPr="00236D6F">
              <w:rPr>
                <w:color w:val="000000"/>
              </w:rPr>
              <w:t>Documented feedback on allowable match and recommendations for maximizing Federal share.</w:t>
            </w:r>
          </w:p>
        </w:tc>
      </w:tr>
      <w:tr w:rsidR="00D061B7" w14:paraId="6C06D461" w14:textId="77777777" w:rsidTr="00FD4983">
        <w:tc>
          <w:tcPr>
            <w:tcW w:w="4675" w:type="dxa"/>
            <w:vAlign w:val="center"/>
          </w:tcPr>
          <w:p w14:paraId="34E13059" w14:textId="77777777" w:rsidR="00D061B7" w:rsidRPr="00236D6F" w:rsidRDefault="00D061B7" w:rsidP="00FD4983">
            <w:pPr>
              <w:pStyle w:val="NoSpacing"/>
            </w:pPr>
            <w:r w:rsidRPr="00236D6F">
              <w:t>Review processes for fiscal reporting and make recommendations for improving accuracy, efficiency and/or automating.</w:t>
            </w:r>
          </w:p>
        </w:tc>
        <w:tc>
          <w:tcPr>
            <w:tcW w:w="4675" w:type="dxa"/>
            <w:vAlign w:val="center"/>
          </w:tcPr>
          <w:p w14:paraId="3E08A09F" w14:textId="77777777" w:rsidR="00D061B7" w:rsidRPr="00236D6F" w:rsidRDefault="00D061B7" w:rsidP="00FD4983">
            <w:pPr>
              <w:pStyle w:val="NoSpacing"/>
            </w:pPr>
            <w:r w:rsidRPr="00236D6F">
              <w:t>Documented feedback and recommendations for fiscal reporting.</w:t>
            </w:r>
          </w:p>
        </w:tc>
      </w:tr>
      <w:tr w:rsidR="00D061B7" w14:paraId="243A74C2" w14:textId="77777777" w:rsidTr="00FD4983">
        <w:tc>
          <w:tcPr>
            <w:tcW w:w="4675" w:type="dxa"/>
            <w:vAlign w:val="center"/>
          </w:tcPr>
          <w:p w14:paraId="5D0E82E0" w14:textId="77777777" w:rsidR="00D061B7" w:rsidRPr="00236D6F" w:rsidRDefault="00D061B7" w:rsidP="00FD4983">
            <w:pPr>
              <w:pStyle w:val="NoSpacing"/>
            </w:pPr>
            <w:r w:rsidRPr="00236D6F">
              <w:t>Review and analyze the VR agency’s indirect cost/cost allocation plan for correct utilization in collaboration with RSA.</w:t>
            </w:r>
          </w:p>
        </w:tc>
        <w:tc>
          <w:tcPr>
            <w:tcW w:w="4675" w:type="dxa"/>
            <w:vAlign w:val="center"/>
          </w:tcPr>
          <w:p w14:paraId="10BFAC1C" w14:textId="77777777" w:rsidR="00D061B7" w:rsidRPr="00236D6F" w:rsidRDefault="00D061B7" w:rsidP="00FD4983">
            <w:pPr>
              <w:pStyle w:val="NoSpacing"/>
            </w:pPr>
            <w:r w:rsidRPr="00236D6F">
              <w:t>RSA approved indirect cost/cost-allocation plan.</w:t>
            </w:r>
          </w:p>
        </w:tc>
      </w:tr>
      <w:tr w:rsidR="00D061B7" w14:paraId="3470B78C" w14:textId="77777777" w:rsidTr="00FD4983">
        <w:tc>
          <w:tcPr>
            <w:tcW w:w="4675" w:type="dxa"/>
            <w:vAlign w:val="center"/>
          </w:tcPr>
          <w:p w14:paraId="719DEDFF" w14:textId="77777777" w:rsidR="00D061B7" w:rsidRPr="00236D6F" w:rsidRDefault="00D061B7" w:rsidP="00FD4983">
            <w:pPr>
              <w:pStyle w:val="NoSpacing"/>
            </w:pPr>
            <w:r w:rsidRPr="00236D6F">
              <w:t xml:space="preserve">Review existing expenditures allocated to the </w:t>
            </w:r>
            <w:proofErr w:type="gramStart"/>
            <w:r w:rsidRPr="00236D6F">
              <w:t>Pre-ETS</w:t>
            </w:r>
            <w:proofErr w:type="gramEnd"/>
            <w:r w:rsidRPr="00236D6F">
              <w:t xml:space="preserve"> reserved funds and determine if they are allowable costs.</w:t>
            </w:r>
          </w:p>
        </w:tc>
        <w:tc>
          <w:tcPr>
            <w:tcW w:w="4675" w:type="dxa"/>
            <w:vAlign w:val="center"/>
          </w:tcPr>
          <w:p w14:paraId="52C04054" w14:textId="77777777" w:rsidR="00D061B7" w:rsidRPr="00236D6F" w:rsidRDefault="00D061B7" w:rsidP="00FD4983">
            <w:pPr>
              <w:pStyle w:val="NoSpacing"/>
            </w:pPr>
            <w:r w:rsidRPr="00236D6F">
              <w:t>Documented feedback on allowable expenditures.</w:t>
            </w:r>
          </w:p>
        </w:tc>
      </w:tr>
      <w:tr w:rsidR="00D061B7" w14:paraId="41C6D8D8" w14:textId="77777777" w:rsidTr="00FD4983">
        <w:tc>
          <w:tcPr>
            <w:tcW w:w="4675" w:type="dxa"/>
            <w:vAlign w:val="center"/>
          </w:tcPr>
          <w:p w14:paraId="633E5850" w14:textId="77777777" w:rsidR="00D061B7" w:rsidRPr="00236D6F" w:rsidRDefault="00D061B7" w:rsidP="00FD4983">
            <w:pPr>
              <w:pStyle w:val="NoSpacing"/>
            </w:pPr>
            <w:r w:rsidRPr="00236D6F">
              <w:t xml:space="preserve">Assist the VR agency in the development of processes and internal controls for accurate financial reporting of </w:t>
            </w:r>
            <w:proofErr w:type="gramStart"/>
            <w:r w:rsidRPr="00236D6F">
              <w:t>Pre-ETS</w:t>
            </w:r>
            <w:proofErr w:type="gramEnd"/>
            <w:r w:rsidRPr="00236D6F">
              <w:t>, including the additional costs that may be charged to the reserve consistent with the NOI.</w:t>
            </w:r>
          </w:p>
        </w:tc>
        <w:tc>
          <w:tcPr>
            <w:tcW w:w="4675" w:type="dxa"/>
            <w:vAlign w:val="center"/>
          </w:tcPr>
          <w:p w14:paraId="69CEE8D3" w14:textId="77777777" w:rsidR="00D061B7" w:rsidRPr="00236D6F" w:rsidRDefault="00D061B7" w:rsidP="00FD4983">
            <w:pPr>
              <w:pStyle w:val="NoSpacing"/>
            </w:pPr>
            <w:r w:rsidRPr="00236D6F">
              <w:t>Draft of written processes and internal controls provided to the VR agency.</w:t>
            </w:r>
          </w:p>
        </w:tc>
      </w:tr>
      <w:tr w:rsidR="00D061B7" w14:paraId="77E3E1AE" w14:textId="77777777" w:rsidTr="00FD4983">
        <w:tc>
          <w:tcPr>
            <w:tcW w:w="9350" w:type="dxa"/>
            <w:gridSpan w:val="2"/>
            <w:shd w:val="clear" w:color="auto" w:fill="D9E2F3"/>
          </w:tcPr>
          <w:p w14:paraId="0479A96B" w14:textId="77777777" w:rsidR="00D061B7" w:rsidRPr="00236D6F" w:rsidRDefault="00D061B7" w:rsidP="00FD4983">
            <w:pPr>
              <w:pBdr>
                <w:top w:val="nil"/>
                <w:left w:val="nil"/>
                <w:bottom w:val="nil"/>
                <w:right w:val="nil"/>
                <w:between w:val="nil"/>
              </w:pBdr>
              <w:ind w:left="360"/>
              <w:jc w:val="center"/>
              <w:rPr>
                <w:b/>
                <w:color w:val="000000"/>
              </w:rPr>
            </w:pPr>
            <w:r w:rsidRPr="00236D6F">
              <w:rPr>
                <w:rFonts w:eastAsia="Calibri"/>
                <w:b/>
                <w:color w:val="000000"/>
              </w:rPr>
              <w:t>OUTCOMES</w:t>
            </w:r>
          </w:p>
          <w:p w14:paraId="4A652445" w14:textId="77777777" w:rsidR="00D061B7" w:rsidRPr="00236D6F" w:rsidRDefault="00D061B7" w:rsidP="00FD4983">
            <w:pPr>
              <w:pBdr>
                <w:top w:val="nil"/>
                <w:left w:val="nil"/>
                <w:bottom w:val="nil"/>
                <w:right w:val="nil"/>
                <w:between w:val="nil"/>
              </w:pBdr>
              <w:ind w:left="360"/>
              <w:jc w:val="center"/>
              <w:rPr>
                <w:b/>
                <w:color w:val="000000"/>
              </w:rPr>
            </w:pPr>
            <w:r w:rsidRPr="00236D6F">
              <w:rPr>
                <w:rFonts w:eastAsia="Calibri"/>
                <w:b/>
                <w:color w:val="000000"/>
              </w:rPr>
              <w:t>Short to Mid-Term</w:t>
            </w:r>
          </w:p>
          <w:p w14:paraId="252D3FF6" w14:textId="77777777" w:rsidR="00D061B7" w:rsidRPr="00236D6F" w:rsidRDefault="00D061B7" w:rsidP="00CF744E">
            <w:pPr>
              <w:pStyle w:val="ListParagraph"/>
              <w:numPr>
                <w:ilvl w:val="3"/>
                <w:numId w:val="20"/>
              </w:numPr>
              <w:pBdr>
                <w:top w:val="nil"/>
                <w:left w:val="nil"/>
                <w:bottom w:val="nil"/>
                <w:right w:val="nil"/>
                <w:between w:val="nil"/>
              </w:pBdr>
              <w:spacing w:after="0" w:line="240" w:lineRule="auto"/>
              <w:ind w:left="780" w:hanging="450"/>
              <w:rPr>
                <w:color w:val="000000"/>
              </w:rPr>
            </w:pPr>
            <w:r w:rsidRPr="00236D6F">
              <w:rPr>
                <w:color w:val="000000"/>
              </w:rPr>
              <w:t>The State will fully expend their 15% pre-employment transition services reserve every year.</w:t>
            </w:r>
          </w:p>
          <w:p w14:paraId="53FB927D"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t>Measurement</w:t>
            </w:r>
            <w:r w:rsidRPr="00236D6F">
              <w:rPr>
                <w:rFonts w:eastAsia="Calibri"/>
                <w:color w:val="000000"/>
              </w:rPr>
              <w:t xml:space="preserve">:  Reserve expenditures will be examined annually. </w:t>
            </w:r>
          </w:p>
          <w:p w14:paraId="752FA23E" w14:textId="77777777" w:rsidR="00D061B7" w:rsidRPr="00236D6F" w:rsidRDefault="00D061B7" w:rsidP="00CF744E">
            <w:pPr>
              <w:pStyle w:val="ListParagraph"/>
              <w:numPr>
                <w:ilvl w:val="3"/>
                <w:numId w:val="20"/>
              </w:numPr>
              <w:pBdr>
                <w:top w:val="nil"/>
                <w:left w:val="nil"/>
                <w:bottom w:val="nil"/>
                <w:right w:val="nil"/>
                <w:between w:val="nil"/>
              </w:pBdr>
              <w:spacing w:after="0" w:line="240" w:lineRule="auto"/>
              <w:ind w:left="690"/>
              <w:rPr>
                <w:color w:val="000000"/>
              </w:rPr>
            </w:pPr>
            <w:r w:rsidRPr="00236D6F">
              <w:rPr>
                <w:color w:val="000000"/>
              </w:rPr>
              <w:t>The internal fiscal monitoring process will demonstrate a reduction in errors in (identify area or areas) annually.</w:t>
            </w:r>
          </w:p>
          <w:p w14:paraId="3F7026C0"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t>Measurement</w:t>
            </w:r>
            <w:r w:rsidRPr="00236D6F">
              <w:rPr>
                <w:rFonts w:eastAsia="Calibri"/>
                <w:color w:val="000000"/>
              </w:rPr>
              <w:t>:  The results from the internal fiscal monitoring will be evaluated against the prior monitoring to determine if improvement has been made in the identified areas.</w:t>
            </w:r>
          </w:p>
          <w:p w14:paraId="4C8B61E6" w14:textId="77777777" w:rsidR="00D061B7" w:rsidRPr="00236D6F" w:rsidRDefault="00D061B7" w:rsidP="00CF744E">
            <w:pPr>
              <w:pStyle w:val="ListParagraph"/>
              <w:numPr>
                <w:ilvl w:val="3"/>
                <w:numId w:val="20"/>
              </w:numPr>
              <w:pBdr>
                <w:top w:val="nil"/>
                <w:left w:val="nil"/>
                <w:bottom w:val="nil"/>
                <w:right w:val="nil"/>
                <w:between w:val="nil"/>
              </w:pBdr>
              <w:spacing w:after="0" w:line="240" w:lineRule="auto"/>
              <w:ind w:left="690"/>
              <w:rPr>
                <w:color w:val="000000"/>
              </w:rPr>
            </w:pPr>
            <w:r w:rsidRPr="00236D6F">
              <w:rPr>
                <w:color w:val="000000"/>
              </w:rPr>
              <w:t>There will be a reduction in fiscal findings resulting from the single state audit.</w:t>
            </w:r>
            <w:r w:rsidRPr="00236D6F">
              <w:rPr>
                <w:color w:val="000000"/>
              </w:rPr>
              <w:tab/>
            </w:r>
          </w:p>
          <w:p w14:paraId="1A379FB4"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t>Measurement</w:t>
            </w:r>
            <w:r w:rsidRPr="00236D6F">
              <w:rPr>
                <w:rFonts w:eastAsia="Calibri"/>
                <w:color w:val="000000"/>
              </w:rPr>
              <w:t>:  The fiscal findings from the single state audit will be compared against the previous audit's fiscal findings to determine if there has been a reduction.</w:t>
            </w:r>
          </w:p>
          <w:p w14:paraId="62F68C7D" w14:textId="77777777" w:rsidR="00D061B7" w:rsidRPr="00236D6F" w:rsidRDefault="00D061B7" w:rsidP="00CF744E">
            <w:pPr>
              <w:pStyle w:val="ListParagraph"/>
              <w:numPr>
                <w:ilvl w:val="3"/>
                <w:numId w:val="20"/>
              </w:numPr>
              <w:pBdr>
                <w:top w:val="nil"/>
                <w:left w:val="nil"/>
                <w:bottom w:val="nil"/>
                <w:right w:val="nil"/>
                <w:between w:val="nil"/>
              </w:pBdr>
              <w:spacing w:after="0" w:line="240" w:lineRule="auto"/>
              <w:ind w:left="690"/>
              <w:rPr>
                <w:color w:val="000000"/>
              </w:rPr>
            </w:pPr>
            <w:r w:rsidRPr="00236D6F">
              <w:rPr>
                <w:color w:val="000000"/>
              </w:rPr>
              <w:t xml:space="preserve">There will be an increase in knowledge of VR agency staff </w:t>
            </w:r>
            <w:proofErr w:type="gramStart"/>
            <w:r w:rsidRPr="00236D6F">
              <w:rPr>
                <w:color w:val="000000"/>
              </w:rPr>
              <w:t>as a result of</w:t>
            </w:r>
            <w:proofErr w:type="gramEnd"/>
            <w:r w:rsidRPr="00236D6F">
              <w:rPr>
                <w:color w:val="000000"/>
              </w:rPr>
              <w:t xml:space="preserve"> the training provided.</w:t>
            </w:r>
          </w:p>
          <w:p w14:paraId="277877EB"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lastRenderedPageBreak/>
              <w:t>Measurement</w:t>
            </w:r>
            <w:r w:rsidRPr="00236D6F">
              <w:rPr>
                <w:rFonts w:eastAsia="Calibri"/>
                <w:color w:val="000000"/>
              </w:rPr>
              <w:t>:  A pre and post-test will be administered to determine the level of knowledge increase.</w:t>
            </w:r>
          </w:p>
          <w:p w14:paraId="539D4A69" w14:textId="77777777" w:rsidR="00D061B7" w:rsidRPr="00236D6F" w:rsidRDefault="00D061B7" w:rsidP="00CF744E">
            <w:pPr>
              <w:pStyle w:val="ListParagraph"/>
              <w:numPr>
                <w:ilvl w:val="3"/>
                <w:numId w:val="20"/>
              </w:numPr>
              <w:pBdr>
                <w:top w:val="nil"/>
                <w:left w:val="nil"/>
                <w:bottom w:val="nil"/>
                <w:right w:val="nil"/>
                <w:between w:val="nil"/>
              </w:pBdr>
              <w:spacing w:after="0" w:line="240" w:lineRule="auto"/>
              <w:ind w:left="690"/>
              <w:rPr>
                <w:color w:val="000000"/>
              </w:rPr>
            </w:pPr>
            <w:r w:rsidRPr="00236D6F">
              <w:rPr>
                <w:color w:val="000000"/>
              </w:rPr>
              <w:t>The VR agency will maximize its ability to draw down the Federal share within the capacity of its non-Federal share sources.</w:t>
            </w:r>
          </w:p>
          <w:p w14:paraId="543C8864"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t>Measurement</w:t>
            </w:r>
            <w:r w:rsidRPr="00236D6F">
              <w:rPr>
                <w:rFonts w:eastAsia="Calibri"/>
                <w:color w:val="000000"/>
              </w:rPr>
              <w:t xml:space="preserve">:  The Federal share will be compared from one year to the next to determine if the agency has maximized its ability to draw down available Federal funds. </w:t>
            </w:r>
          </w:p>
          <w:p w14:paraId="652463C9" w14:textId="77777777" w:rsidR="00D061B7" w:rsidRPr="00236D6F" w:rsidRDefault="00D061B7" w:rsidP="00FD4983">
            <w:pPr>
              <w:pBdr>
                <w:top w:val="nil"/>
                <w:left w:val="nil"/>
                <w:bottom w:val="nil"/>
                <w:right w:val="nil"/>
                <w:between w:val="nil"/>
              </w:pBdr>
              <w:ind w:left="360"/>
              <w:jc w:val="center"/>
              <w:rPr>
                <w:b/>
                <w:color w:val="000000"/>
              </w:rPr>
            </w:pPr>
            <w:r w:rsidRPr="00236D6F">
              <w:rPr>
                <w:rFonts w:eastAsia="Calibri"/>
                <w:b/>
                <w:color w:val="000000"/>
              </w:rPr>
              <w:t>Long-Term</w:t>
            </w:r>
          </w:p>
          <w:p w14:paraId="40150FEE" w14:textId="77777777" w:rsidR="00D061B7" w:rsidRPr="00236D6F" w:rsidRDefault="00D061B7" w:rsidP="00CF744E">
            <w:pPr>
              <w:pStyle w:val="ListParagraph"/>
              <w:numPr>
                <w:ilvl w:val="6"/>
                <w:numId w:val="20"/>
              </w:numPr>
              <w:pBdr>
                <w:top w:val="nil"/>
                <w:left w:val="nil"/>
                <w:bottom w:val="nil"/>
                <w:right w:val="nil"/>
                <w:between w:val="nil"/>
              </w:pBdr>
              <w:spacing w:after="0" w:line="240" w:lineRule="auto"/>
              <w:ind w:left="690"/>
              <w:rPr>
                <w:color w:val="000000"/>
              </w:rPr>
            </w:pPr>
            <w:r w:rsidRPr="00236D6F">
              <w:rPr>
                <w:color w:val="000000"/>
              </w:rPr>
              <w:t xml:space="preserve">There will be a reduction in the corrective actions related to fiscal performance of the VR program.  </w:t>
            </w:r>
          </w:p>
          <w:p w14:paraId="0310E53F" w14:textId="77777777" w:rsidR="00D061B7" w:rsidRPr="00236D6F" w:rsidRDefault="00D061B7" w:rsidP="00FD4983">
            <w:pPr>
              <w:pBdr>
                <w:top w:val="nil"/>
                <w:left w:val="nil"/>
                <w:bottom w:val="nil"/>
                <w:right w:val="nil"/>
                <w:between w:val="nil"/>
              </w:pBdr>
              <w:ind w:left="1080"/>
              <w:rPr>
                <w:color w:val="000000"/>
              </w:rPr>
            </w:pPr>
            <w:r w:rsidRPr="00236D6F">
              <w:rPr>
                <w:rFonts w:eastAsia="Calibri"/>
                <w:i/>
                <w:color w:val="000000"/>
              </w:rPr>
              <w:t>Measurement</w:t>
            </w:r>
            <w:r w:rsidRPr="00236D6F">
              <w:rPr>
                <w:rFonts w:eastAsia="Calibri"/>
                <w:color w:val="000000"/>
              </w:rPr>
              <w:t xml:space="preserve">:  The results number of corrective actions related to the fiscal performance of the VR program will be measured against the prior monitoring report. </w:t>
            </w:r>
          </w:p>
          <w:p w14:paraId="3A3755D0" w14:textId="77777777" w:rsidR="00D061B7" w:rsidRDefault="00D061B7" w:rsidP="00FD4983">
            <w:pPr>
              <w:pBdr>
                <w:top w:val="nil"/>
                <w:left w:val="nil"/>
                <w:bottom w:val="nil"/>
                <w:right w:val="nil"/>
                <w:between w:val="nil"/>
              </w:pBdr>
              <w:ind w:left="1080"/>
              <w:rPr>
                <w:color w:val="000000"/>
              </w:rPr>
            </w:pPr>
          </w:p>
        </w:tc>
      </w:tr>
    </w:tbl>
    <w:p w14:paraId="356D79BD" w14:textId="3FA9E4F5" w:rsidR="004C5AAC" w:rsidRDefault="004C5AAC" w:rsidP="00B2046A">
      <w:pPr>
        <w:spacing w:before="240"/>
        <w:rPr>
          <w:bCs/>
        </w:rPr>
      </w:pPr>
      <w:r>
        <w:rPr>
          <w:bCs/>
        </w:rPr>
        <w:lastRenderedPageBreak/>
        <w:t>In the quality program and performance</w:t>
      </w:r>
      <w:r w:rsidR="00F362E0">
        <w:rPr>
          <w:bCs/>
        </w:rPr>
        <w:t xml:space="preserve"> management logic model, we </w:t>
      </w:r>
      <w:r w:rsidR="00746707">
        <w:rPr>
          <w:bCs/>
        </w:rPr>
        <w:t xml:space="preserve">broke-up the activities, </w:t>
      </w:r>
      <w:proofErr w:type="gramStart"/>
      <w:r w:rsidR="00746707">
        <w:rPr>
          <w:bCs/>
        </w:rPr>
        <w:t>outputs</w:t>
      </w:r>
      <w:proofErr w:type="gramEnd"/>
      <w:r w:rsidR="00746707">
        <w:rPr>
          <w:bCs/>
        </w:rPr>
        <w:t xml:space="preserve"> and outcomes into two broad categories that include VR program and regulations and WIOA performance and accountability. </w:t>
      </w:r>
      <w:proofErr w:type="gramStart"/>
      <w:r w:rsidR="00746707">
        <w:rPr>
          <w:bCs/>
        </w:rPr>
        <w:t>Both of these</w:t>
      </w:r>
      <w:proofErr w:type="gramEnd"/>
      <w:r w:rsidR="00746707">
        <w:rPr>
          <w:bCs/>
        </w:rPr>
        <w:t xml:space="preserve"> logic models are presented below.</w:t>
      </w:r>
    </w:p>
    <w:p w14:paraId="6643E191" w14:textId="520FFF32" w:rsidR="00D061B7" w:rsidRDefault="004C5AAC" w:rsidP="00746707">
      <w:pPr>
        <w:pStyle w:val="NoSpacing"/>
      </w:pPr>
      <w:r>
        <w:t xml:space="preserve">Table 2: </w:t>
      </w:r>
      <w:r w:rsidR="00746707">
        <w:t>VR Program and Regulations</w:t>
      </w:r>
      <w:r>
        <w:t xml:space="preserve"> Logic Model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C5AAC" w:rsidRPr="008A4064" w14:paraId="2BD94F83" w14:textId="77777777" w:rsidTr="00FD4983">
        <w:tc>
          <w:tcPr>
            <w:tcW w:w="4675" w:type="dxa"/>
            <w:shd w:val="clear" w:color="auto" w:fill="D9E2F3"/>
          </w:tcPr>
          <w:p w14:paraId="0566DDBF" w14:textId="77777777" w:rsidR="004C5AAC" w:rsidRPr="008A4064" w:rsidRDefault="004C5AAC" w:rsidP="00FD4983">
            <w:pPr>
              <w:pBdr>
                <w:top w:val="nil"/>
                <w:left w:val="nil"/>
                <w:bottom w:val="nil"/>
                <w:right w:val="nil"/>
                <w:between w:val="nil"/>
              </w:pBdr>
              <w:ind w:left="720"/>
              <w:jc w:val="center"/>
              <w:rPr>
                <w:b/>
                <w:color w:val="000000"/>
              </w:rPr>
            </w:pPr>
            <w:r w:rsidRPr="008A4064">
              <w:rPr>
                <w:rFonts w:eastAsia="Calibri"/>
                <w:b/>
                <w:color w:val="000000"/>
              </w:rPr>
              <w:t>ACTIVITIES</w:t>
            </w:r>
          </w:p>
        </w:tc>
        <w:tc>
          <w:tcPr>
            <w:tcW w:w="4675" w:type="dxa"/>
            <w:shd w:val="clear" w:color="auto" w:fill="D9E2F3"/>
          </w:tcPr>
          <w:p w14:paraId="56559245" w14:textId="77777777" w:rsidR="004C5AAC" w:rsidRPr="008A4064" w:rsidRDefault="004C5AAC" w:rsidP="00FD4983">
            <w:pPr>
              <w:jc w:val="center"/>
              <w:rPr>
                <w:b/>
              </w:rPr>
            </w:pPr>
            <w:r w:rsidRPr="008A4064">
              <w:rPr>
                <w:b/>
              </w:rPr>
              <w:t>OUTPUTS</w:t>
            </w:r>
          </w:p>
        </w:tc>
      </w:tr>
      <w:tr w:rsidR="004C5AAC" w:rsidRPr="008A4064" w14:paraId="5FA2C9E4" w14:textId="77777777" w:rsidTr="00FD4983">
        <w:tc>
          <w:tcPr>
            <w:tcW w:w="4675" w:type="dxa"/>
            <w:vAlign w:val="center"/>
          </w:tcPr>
          <w:p w14:paraId="4ACC2463" w14:textId="0CBD1F6B"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Review, develop and/or revise, as needed, policies and procedures for [</w:t>
            </w:r>
            <w:r w:rsidRPr="008A4064">
              <w:rPr>
                <w:rFonts w:eastAsia="Calibri"/>
                <w:i/>
                <w:color w:val="000000"/>
              </w:rPr>
              <w:t xml:space="preserve">insert VR topic/requirement </w:t>
            </w:r>
          </w:p>
        </w:tc>
        <w:tc>
          <w:tcPr>
            <w:tcW w:w="4675" w:type="dxa"/>
            <w:vAlign w:val="center"/>
          </w:tcPr>
          <w:p w14:paraId="149CD4F7" w14:textId="0C00B6C2"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draft/revised policies and procedures recommendations for [</w:t>
            </w:r>
            <w:r w:rsidRPr="008A4064">
              <w:rPr>
                <w:rFonts w:eastAsia="Calibri"/>
                <w:i/>
                <w:color w:val="000000"/>
              </w:rPr>
              <w:t>insert VR topi</w:t>
            </w:r>
            <w:r w:rsidR="00746707">
              <w:rPr>
                <w:rFonts w:eastAsia="Calibri"/>
                <w:i/>
                <w:color w:val="000000"/>
              </w:rPr>
              <w:t>c</w:t>
            </w:r>
          </w:p>
        </w:tc>
      </w:tr>
      <w:tr w:rsidR="004C5AAC" w:rsidRPr="008A4064" w14:paraId="25B8B362" w14:textId="77777777" w:rsidTr="00FD4983">
        <w:tc>
          <w:tcPr>
            <w:tcW w:w="4675" w:type="dxa"/>
            <w:vAlign w:val="center"/>
          </w:tcPr>
          <w:p w14:paraId="03281895"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Review, develop and/or revise, as needed, written internal controls necessary for [</w:t>
            </w:r>
            <w:r w:rsidRPr="008A4064">
              <w:rPr>
                <w:rFonts w:eastAsia="Calibri"/>
                <w:i/>
                <w:color w:val="000000"/>
              </w:rPr>
              <w:t>insert VR topic/requirement – e.g., Timely Eligibility and IPE Development, Service Provision</w:t>
            </w:r>
            <w:r w:rsidRPr="008A4064">
              <w:rPr>
                <w:rFonts w:eastAsia="Calibri"/>
                <w:color w:val="000000"/>
              </w:rPr>
              <w:t>]</w:t>
            </w:r>
          </w:p>
        </w:tc>
        <w:tc>
          <w:tcPr>
            <w:tcW w:w="4675" w:type="dxa"/>
            <w:vAlign w:val="center"/>
          </w:tcPr>
          <w:p w14:paraId="3443BD0F"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draft/revised internal controls and written procedures recommendations for [</w:t>
            </w:r>
            <w:r w:rsidRPr="008A4064">
              <w:rPr>
                <w:rFonts w:eastAsia="Calibri"/>
                <w:i/>
                <w:color w:val="000000"/>
              </w:rPr>
              <w:t>insert VR topic/requirement – e.g., Timely Eligibility and IPE Development, Service Provision</w:t>
            </w:r>
            <w:r w:rsidRPr="008A4064">
              <w:rPr>
                <w:rFonts w:eastAsia="Calibri"/>
                <w:color w:val="000000"/>
              </w:rPr>
              <w:t>]</w:t>
            </w:r>
          </w:p>
        </w:tc>
      </w:tr>
      <w:tr w:rsidR="004C5AAC" w:rsidRPr="008A4064" w14:paraId="33AF7B21" w14:textId="77777777" w:rsidTr="00FD4983">
        <w:tc>
          <w:tcPr>
            <w:tcW w:w="4675" w:type="dxa"/>
            <w:vAlign w:val="center"/>
          </w:tcPr>
          <w:p w14:paraId="39C6734B"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 xml:space="preserve">Review, develop and/or revise, as needed, performance evaluation standards for VR Counselors (and other staff as needed) reflecting agency and WIOA standards </w:t>
            </w:r>
          </w:p>
        </w:tc>
        <w:tc>
          <w:tcPr>
            <w:tcW w:w="4675" w:type="dxa"/>
            <w:vAlign w:val="center"/>
          </w:tcPr>
          <w:p w14:paraId="0D41E309"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draft/revised performance evaluation standards recommendations</w:t>
            </w:r>
          </w:p>
        </w:tc>
      </w:tr>
      <w:tr w:rsidR="009E7CB5" w:rsidRPr="008A4064" w14:paraId="77764D29" w14:textId="77777777" w:rsidTr="00FD4983">
        <w:tc>
          <w:tcPr>
            <w:tcW w:w="4675" w:type="dxa"/>
            <w:shd w:val="clear" w:color="auto" w:fill="D9E2F3"/>
          </w:tcPr>
          <w:p w14:paraId="02A0314F" w14:textId="77777777" w:rsidR="009E7CB5" w:rsidRPr="008A4064" w:rsidRDefault="009E7CB5" w:rsidP="00FD4983">
            <w:pPr>
              <w:pBdr>
                <w:top w:val="nil"/>
                <w:left w:val="nil"/>
                <w:bottom w:val="nil"/>
                <w:right w:val="nil"/>
                <w:between w:val="nil"/>
              </w:pBdr>
              <w:ind w:left="720"/>
              <w:jc w:val="center"/>
              <w:rPr>
                <w:b/>
                <w:color w:val="000000"/>
              </w:rPr>
            </w:pPr>
            <w:r w:rsidRPr="008A4064">
              <w:rPr>
                <w:rFonts w:eastAsia="Calibri"/>
                <w:b/>
                <w:color w:val="000000"/>
              </w:rPr>
              <w:t>ACTIVITIES</w:t>
            </w:r>
          </w:p>
        </w:tc>
        <w:tc>
          <w:tcPr>
            <w:tcW w:w="4675" w:type="dxa"/>
            <w:shd w:val="clear" w:color="auto" w:fill="D9E2F3"/>
          </w:tcPr>
          <w:p w14:paraId="56904365" w14:textId="77777777" w:rsidR="009E7CB5" w:rsidRPr="008A4064" w:rsidRDefault="009E7CB5" w:rsidP="00FD4983">
            <w:pPr>
              <w:jc w:val="center"/>
              <w:rPr>
                <w:b/>
              </w:rPr>
            </w:pPr>
            <w:r w:rsidRPr="008A4064">
              <w:rPr>
                <w:b/>
              </w:rPr>
              <w:t>OUTPUTS</w:t>
            </w:r>
          </w:p>
        </w:tc>
      </w:tr>
      <w:tr w:rsidR="004C5AAC" w:rsidRPr="008A4064" w14:paraId="06ACFF2B" w14:textId="77777777" w:rsidTr="00FD4983">
        <w:tc>
          <w:tcPr>
            <w:tcW w:w="4675" w:type="dxa"/>
            <w:vAlign w:val="center"/>
          </w:tcPr>
          <w:p w14:paraId="6E1376EE"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Assist VR leadership in the development of a program improvement plan for [</w:t>
            </w:r>
            <w:r w:rsidRPr="008A4064">
              <w:rPr>
                <w:rFonts w:eastAsia="Calibri"/>
                <w:i/>
                <w:color w:val="000000"/>
              </w:rPr>
              <w:t xml:space="preserve">insert VR topic/requirement – e.g., Training and </w:t>
            </w:r>
            <w:r w:rsidRPr="008A4064">
              <w:rPr>
                <w:rFonts w:eastAsia="Calibri"/>
                <w:i/>
                <w:color w:val="000000"/>
              </w:rPr>
              <w:lastRenderedPageBreak/>
              <w:t>onboarding of staff, policy manual evaluation and amendments</w:t>
            </w:r>
            <w:r w:rsidRPr="008A4064">
              <w:rPr>
                <w:rFonts w:eastAsia="Calibri"/>
                <w:color w:val="000000"/>
              </w:rPr>
              <w:t>]</w:t>
            </w:r>
          </w:p>
        </w:tc>
        <w:tc>
          <w:tcPr>
            <w:tcW w:w="4675" w:type="dxa"/>
            <w:vAlign w:val="center"/>
          </w:tcPr>
          <w:p w14:paraId="7BC66F69"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lastRenderedPageBreak/>
              <w:t>Completed plan for [</w:t>
            </w:r>
            <w:r w:rsidRPr="008A4064">
              <w:rPr>
                <w:rFonts w:eastAsia="Calibri"/>
                <w:i/>
                <w:color w:val="000000"/>
              </w:rPr>
              <w:t>insert VR topic/requirement – e.g., Training and onboarding of staff, policy manual evaluation and amendments</w:t>
            </w:r>
            <w:r w:rsidRPr="008A4064">
              <w:rPr>
                <w:rFonts w:eastAsia="Calibri"/>
                <w:color w:val="000000"/>
              </w:rPr>
              <w:t xml:space="preserve">] with </w:t>
            </w:r>
            <w:r w:rsidRPr="008A4064">
              <w:rPr>
                <w:rFonts w:eastAsia="Calibri"/>
                <w:color w:val="000000"/>
              </w:rPr>
              <w:lastRenderedPageBreak/>
              <w:t>identified implementation needs, required data, roles, and responsibilities, and other.</w:t>
            </w:r>
          </w:p>
        </w:tc>
      </w:tr>
      <w:tr w:rsidR="004C5AAC" w:rsidRPr="008A4064" w14:paraId="23C9CE6F" w14:textId="77777777" w:rsidTr="00FD4983">
        <w:tc>
          <w:tcPr>
            <w:tcW w:w="4675" w:type="dxa"/>
            <w:vAlign w:val="center"/>
          </w:tcPr>
          <w:p w14:paraId="35C5B704"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lastRenderedPageBreak/>
              <w:t>Assist VR agency in responding to and developing strategies necessary to meet the requirements identified in the RSA Monitoring Corrective Action Plan (CAP)</w:t>
            </w:r>
          </w:p>
        </w:tc>
        <w:tc>
          <w:tcPr>
            <w:tcW w:w="4675" w:type="dxa"/>
            <w:vAlign w:val="center"/>
          </w:tcPr>
          <w:p w14:paraId="7D0AD63D"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draft/revised response and strategy recommendations</w:t>
            </w:r>
          </w:p>
        </w:tc>
      </w:tr>
      <w:tr w:rsidR="004C5AAC" w:rsidRPr="008A4064" w14:paraId="3199635F" w14:textId="77777777" w:rsidTr="00FD4983">
        <w:tc>
          <w:tcPr>
            <w:tcW w:w="4675" w:type="dxa"/>
            <w:vAlign w:val="center"/>
          </w:tcPr>
          <w:p w14:paraId="10013DF0"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Assist VR Administration in identifying areas needing improvement through use of agency data/analytics (e.g., RSA-911, case management system)</w:t>
            </w:r>
          </w:p>
        </w:tc>
        <w:tc>
          <w:tcPr>
            <w:tcW w:w="4675" w:type="dxa"/>
            <w:vAlign w:val="center"/>
          </w:tcPr>
          <w:p w14:paraId="1AB1C9DA"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plan with identified implementation needs, required data, roles, and responsibilities, and other</w:t>
            </w:r>
          </w:p>
        </w:tc>
      </w:tr>
      <w:tr w:rsidR="004C5AAC" w:rsidRPr="008A4064" w14:paraId="4D9D4D26" w14:textId="77777777" w:rsidTr="00FD4983">
        <w:tc>
          <w:tcPr>
            <w:tcW w:w="4675" w:type="dxa"/>
            <w:vAlign w:val="center"/>
          </w:tcPr>
          <w:p w14:paraId="64860FAC"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Analyze VR agency’s ability to accurately track and report VR requirements in the [</w:t>
            </w:r>
            <w:r w:rsidRPr="008A4064">
              <w:rPr>
                <w:rFonts w:eastAsia="Calibri"/>
                <w:i/>
                <w:color w:val="000000"/>
              </w:rPr>
              <w:t>insert report – e.g., RSA-911, RSA-722, State Plan</w:t>
            </w:r>
            <w:r w:rsidRPr="008A4064">
              <w:rPr>
                <w:rFonts w:eastAsia="Calibri"/>
                <w:color w:val="000000"/>
              </w:rPr>
              <w:t>]</w:t>
            </w:r>
          </w:p>
        </w:tc>
        <w:tc>
          <w:tcPr>
            <w:tcW w:w="4675" w:type="dxa"/>
            <w:vAlign w:val="center"/>
          </w:tcPr>
          <w:p w14:paraId="0614235D"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assessment with identified implementation strategies and timelines necessary to accurately track and report VR requirements in the [</w:t>
            </w:r>
            <w:r w:rsidRPr="008A4064">
              <w:rPr>
                <w:rFonts w:eastAsia="Calibri"/>
                <w:i/>
                <w:color w:val="000000"/>
              </w:rPr>
              <w:t>insert report – e.g., RSA-911, RSA-722, State Plan</w:t>
            </w:r>
            <w:r w:rsidRPr="008A4064">
              <w:rPr>
                <w:rFonts w:eastAsia="Calibri"/>
                <w:color w:val="000000"/>
              </w:rPr>
              <w:t>]</w:t>
            </w:r>
          </w:p>
        </w:tc>
      </w:tr>
      <w:tr w:rsidR="004C5AAC" w:rsidRPr="008A4064" w14:paraId="10D2836E" w14:textId="77777777" w:rsidTr="00FD4983">
        <w:tc>
          <w:tcPr>
            <w:tcW w:w="4675" w:type="dxa"/>
            <w:vAlign w:val="center"/>
          </w:tcPr>
          <w:p w14:paraId="26A584A5"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Assist VR agency’s data/case management system and program staff to develop/revise data collection processes for [</w:t>
            </w:r>
            <w:r w:rsidRPr="008A4064">
              <w:rPr>
                <w:rFonts w:eastAsia="Calibri"/>
                <w:i/>
                <w:color w:val="000000"/>
              </w:rPr>
              <w:t xml:space="preserve">insert VR topic/requirement – e.g., Service provision, </w:t>
            </w:r>
            <w:proofErr w:type="gramStart"/>
            <w:r w:rsidRPr="008A4064">
              <w:rPr>
                <w:rFonts w:eastAsia="Calibri"/>
                <w:i/>
                <w:color w:val="000000"/>
              </w:rPr>
              <w:t>Pre-ETS</w:t>
            </w:r>
            <w:proofErr w:type="gramEnd"/>
            <w:r w:rsidRPr="008A4064">
              <w:rPr>
                <w:rFonts w:eastAsia="Calibri"/>
                <w:color w:val="000000"/>
              </w:rPr>
              <w:t>]</w:t>
            </w:r>
          </w:p>
        </w:tc>
        <w:tc>
          <w:tcPr>
            <w:tcW w:w="4675" w:type="dxa"/>
            <w:vAlign w:val="center"/>
          </w:tcPr>
          <w:p w14:paraId="36DE7F9D"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recommendations and/or implementation for data collection processes for [</w:t>
            </w:r>
            <w:r w:rsidRPr="008A4064">
              <w:rPr>
                <w:rFonts w:eastAsia="Calibri"/>
                <w:i/>
                <w:color w:val="000000"/>
              </w:rPr>
              <w:t xml:space="preserve">insert VR topic/requirement – e.g., Service provision, </w:t>
            </w:r>
            <w:proofErr w:type="gramStart"/>
            <w:r w:rsidRPr="008A4064">
              <w:rPr>
                <w:rFonts w:eastAsia="Calibri"/>
                <w:i/>
                <w:color w:val="000000"/>
              </w:rPr>
              <w:t>Pre-ETS</w:t>
            </w:r>
            <w:proofErr w:type="gramEnd"/>
            <w:r w:rsidRPr="008A4064">
              <w:rPr>
                <w:rFonts w:eastAsia="Calibri"/>
                <w:color w:val="000000"/>
              </w:rPr>
              <w:t>]</w:t>
            </w:r>
          </w:p>
        </w:tc>
      </w:tr>
      <w:tr w:rsidR="004C5AAC" w:rsidRPr="008A4064" w14:paraId="3F26EDD5" w14:textId="77777777" w:rsidTr="00FD4983">
        <w:tc>
          <w:tcPr>
            <w:tcW w:w="4675" w:type="dxa"/>
            <w:vAlign w:val="center"/>
          </w:tcPr>
          <w:p w14:paraId="7708BAD2"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Assist VR agency in developing strategies for data analysis and data-informed decision-making for [</w:t>
            </w:r>
            <w:r w:rsidRPr="008A4064">
              <w:rPr>
                <w:rFonts w:eastAsia="Calibri"/>
                <w:i/>
                <w:color w:val="000000"/>
              </w:rPr>
              <w:t>insert VR topic/requirement – e.g., Visual Analytics – Tableau, tracking reports</w:t>
            </w:r>
            <w:r w:rsidRPr="008A4064">
              <w:rPr>
                <w:rFonts w:eastAsia="Calibri"/>
                <w:color w:val="000000"/>
              </w:rPr>
              <w:t>]</w:t>
            </w:r>
          </w:p>
        </w:tc>
        <w:tc>
          <w:tcPr>
            <w:tcW w:w="4675" w:type="dxa"/>
            <w:vAlign w:val="center"/>
          </w:tcPr>
          <w:p w14:paraId="24F3FC68"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Completed draft/revised strategies including data analysis and data-informed decision-making recommendations for [</w:t>
            </w:r>
            <w:r w:rsidRPr="008A4064">
              <w:rPr>
                <w:rFonts w:eastAsia="Calibri"/>
                <w:i/>
                <w:color w:val="000000"/>
              </w:rPr>
              <w:t>insert VR topic/requirement – e.g., Visual Analytics – Tableau, tracking reports</w:t>
            </w:r>
            <w:r w:rsidRPr="008A4064">
              <w:rPr>
                <w:rFonts w:eastAsia="Calibri"/>
                <w:color w:val="000000"/>
              </w:rPr>
              <w:t>]</w:t>
            </w:r>
          </w:p>
        </w:tc>
      </w:tr>
      <w:tr w:rsidR="004C5AAC" w:rsidRPr="008A4064" w14:paraId="7FB7B865" w14:textId="77777777" w:rsidTr="00FD4983">
        <w:tc>
          <w:tcPr>
            <w:tcW w:w="4675" w:type="dxa"/>
            <w:vAlign w:val="center"/>
          </w:tcPr>
          <w:p w14:paraId="537EEC3B" w14:textId="77777777" w:rsidR="004C5AAC" w:rsidRPr="008A4064" w:rsidRDefault="004C5AAC" w:rsidP="00CF744E">
            <w:pPr>
              <w:numPr>
                <w:ilvl w:val="0"/>
                <w:numId w:val="22"/>
              </w:numPr>
              <w:pBdr>
                <w:top w:val="nil"/>
                <w:left w:val="nil"/>
                <w:bottom w:val="nil"/>
                <w:right w:val="nil"/>
                <w:between w:val="nil"/>
              </w:pBdr>
            </w:pPr>
            <w:r w:rsidRPr="008A4064">
              <w:rPr>
                <w:rFonts w:eastAsia="Calibri"/>
                <w:color w:val="000000"/>
              </w:rPr>
              <w:t>Staff training on [</w:t>
            </w:r>
            <w:r w:rsidRPr="008A4064">
              <w:rPr>
                <w:rFonts w:eastAsia="Calibri"/>
                <w:i/>
                <w:color w:val="000000"/>
              </w:rPr>
              <w:t>insert VR topic/requirement – e.g., eligibility, IPE development, Law/Regulations and State connections</w:t>
            </w:r>
            <w:r w:rsidRPr="008A4064">
              <w:rPr>
                <w:rFonts w:eastAsia="Calibri"/>
                <w:color w:val="000000"/>
              </w:rPr>
              <w:t>]</w:t>
            </w:r>
          </w:p>
        </w:tc>
        <w:tc>
          <w:tcPr>
            <w:tcW w:w="4675" w:type="dxa"/>
            <w:vAlign w:val="center"/>
          </w:tcPr>
          <w:p w14:paraId="473963D5" w14:textId="77777777" w:rsidR="004C5AAC" w:rsidRPr="008A4064" w:rsidRDefault="004C5AAC" w:rsidP="00CF744E">
            <w:pPr>
              <w:numPr>
                <w:ilvl w:val="0"/>
                <w:numId w:val="23"/>
              </w:numPr>
              <w:pBdr>
                <w:top w:val="nil"/>
                <w:left w:val="nil"/>
                <w:bottom w:val="nil"/>
                <w:right w:val="nil"/>
                <w:between w:val="nil"/>
              </w:pBdr>
            </w:pPr>
            <w:r w:rsidRPr="008A4064">
              <w:rPr>
                <w:rFonts w:eastAsia="Calibri"/>
                <w:color w:val="000000"/>
              </w:rPr>
              <w:t>The number of staff that receive training on [</w:t>
            </w:r>
            <w:r w:rsidRPr="008A4064">
              <w:rPr>
                <w:rFonts w:eastAsia="Calibri"/>
                <w:i/>
                <w:color w:val="000000"/>
              </w:rPr>
              <w:t>insert VR topic/requirement – e.g., IPE development, Law/Regulations and State connections</w:t>
            </w:r>
            <w:r w:rsidRPr="008A4064">
              <w:rPr>
                <w:rFonts w:eastAsia="Calibri"/>
                <w:color w:val="000000"/>
              </w:rPr>
              <w:t xml:space="preserve">] </w:t>
            </w:r>
          </w:p>
        </w:tc>
      </w:tr>
      <w:tr w:rsidR="004C5AAC" w:rsidRPr="008A4064" w14:paraId="79C68E38" w14:textId="77777777" w:rsidTr="00FD4983">
        <w:tc>
          <w:tcPr>
            <w:tcW w:w="4675" w:type="dxa"/>
            <w:vAlign w:val="center"/>
          </w:tcPr>
          <w:p w14:paraId="4629E89C" w14:textId="77777777" w:rsidR="004C5AAC" w:rsidRPr="008A4064" w:rsidRDefault="004C5AAC" w:rsidP="00CF744E">
            <w:pPr>
              <w:numPr>
                <w:ilvl w:val="0"/>
                <w:numId w:val="22"/>
              </w:numPr>
              <w:pBdr>
                <w:top w:val="nil"/>
                <w:left w:val="nil"/>
                <w:bottom w:val="nil"/>
                <w:right w:val="nil"/>
                <w:between w:val="nil"/>
              </w:pBdr>
              <w:rPr>
                <w:color w:val="000000"/>
              </w:rPr>
            </w:pPr>
            <w:r w:rsidRPr="008A4064">
              <w:rPr>
                <w:rFonts w:eastAsia="Calibri"/>
                <w:color w:val="000000"/>
              </w:rPr>
              <w:t>Conduct a staff training needs assessment, including a report with staff training needs identified for different job classifications.</w:t>
            </w:r>
          </w:p>
        </w:tc>
        <w:tc>
          <w:tcPr>
            <w:tcW w:w="4675" w:type="dxa"/>
            <w:vAlign w:val="center"/>
          </w:tcPr>
          <w:p w14:paraId="50CD947E" w14:textId="77777777" w:rsidR="004C5AAC" w:rsidRPr="008A4064" w:rsidRDefault="004C5AAC" w:rsidP="00CF744E">
            <w:pPr>
              <w:numPr>
                <w:ilvl w:val="0"/>
                <w:numId w:val="23"/>
              </w:numPr>
              <w:pBdr>
                <w:top w:val="nil"/>
                <w:left w:val="nil"/>
                <w:bottom w:val="nil"/>
                <w:right w:val="nil"/>
                <w:between w:val="nil"/>
              </w:pBdr>
              <w:rPr>
                <w:color w:val="000000"/>
              </w:rPr>
            </w:pPr>
            <w:r w:rsidRPr="008A4064">
              <w:rPr>
                <w:rFonts w:eastAsia="Calibri"/>
                <w:color w:val="000000"/>
              </w:rPr>
              <w:t>Completed staff training needs report.  Template survey for use annually provided.</w:t>
            </w:r>
          </w:p>
        </w:tc>
      </w:tr>
      <w:tr w:rsidR="009E7CB5" w:rsidRPr="008A4064" w14:paraId="7BF17874" w14:textId="77777777" w:rsidTr="00FD4983">
        <w:tc>
          <w:tcPr>
            <w:tcW w:w="4675" w:type="dxa"/>
            <w:shd w:val="clear" w:color="auto" w:fill="D9E2F3"/>
          </w:tcPr>
          <w:p w14:paraId="107B1C14" w14:textId="77777777" w:rsidR="009E7CB5" w:rsidRPr="008A4064" w:rsidRDefault="009E7CB5" w:rsidP="00FD4983">
            <w:pPr>
              <w:pBdr>
                <w:top w:val="nil"/>
                <w:left w:val="nil"/>
                <w:bottom w:val="nil"/>
                <w:right w:val="nil"/>
                <w:between w:val="nil"/>
              </w:pBdr>
              <w:ind w:left="720"/>
              <w:jc w:val="center"/>
              <w:rPr>
                <w:b/>
                <w:color w:val="000000"/>
              </w:rPr>
            </w:pPr>
            <w:r w:rsidRPr="008A4064">
              <w:rPr>
                <w:rFonts w:eastAsia="Calibri"/>
                <w:b/>
                <w:color w:val="000000"/>
              </w:rPr>
              <w:t>ACTIVITIES</w:t>
            </w:r>
          </w:p>
        </w:tc>
        <w:tc>
          <w:tcPr>
            <w:tcW w:w="4675" w:type="dxa"/>
            <w:shd w:val="clear" w:color="auto" w:fill="D9E2F3"/>
          </w:tcPr>
          <w:p w14:paraId="5DF0DA3F" w14:textId="77777777" w:rsidR="009E7CB5" w:rsidRPr="008A4064" w:rsidRDefault="009E7CB5" w:rsidP="00FD4983">
            <w:pPr>
              <w:jc w:val="center"/>
              <w:rPr>
                <w:b/>
              </w:rPr>
            </w:pPr>
            <w:r w:rsidRPr="008A4064">
              <w:rPr>
                <w:b/>
              </w:rPr>
              <w:t>OUTPUTS</w:t>
            </w:r>
          </w:p>
        </w:tc>
      </w:tr>
      <w:tr w:rsidR="004C5AAC" w:rsidRPr="008A4064" w14:paraId="584B5913" w14:textId="77777777" w:rsidTr="00FD4983">
        <w:tc>
          <w:tcPr>
            <w:tcW w:w="4675" w:type="dxa"/>
            <w:vAlign w:val="center"/>
          </w:tcPr>
          <w:p w14:paraId="514B027D" w14:textId="77777777" w:rsidR="004C5AAC" w:rsidRPr="008A4064" w:rsidRDefault="004C5AAC" w:rsidP="00CF744E">
            <w:pPr>
              <w:numPr>
                <w:ilvl w:val="0"/>
                <w:numId w:val="22"/>
              </w:numPr>
              <w:pBdr>
                <w:top w:val="nil"/>
                <w:left w:val="nil"/>
                <w:bottom w:val="nil"/>
                <w:right w:val="nil"/>
                <w:between w:val="nil"/>
              </w:pBdr>
              <w:rPr>
                <w:color w:val="000000"/>
              </w:rPr>
            </w:pPr>
            <w:r w:rsidRPr="008A4064">
              <w:rPr>
                <w:rFonts w:eastAsia="Calibri"/>
                <w:color w:val="000000"/>
              </w:rPr>
              <w:t xml:space="preserve">Assist OVR to develop and implement a formal succession plan for use by the agency to sustain institutional knowledge and prepare future leaders of the </w:t>
            </w:r>
            <w:r w:rsidRPr="008A4064">
              <w:rPr>
                <w:rFonts w:eastAsia="Calibri"/>
                <w:color w:val="000000"/>
              </w:rPr>
              <w:lastRenderedPageBreak/>
              <w:t>organization, includes formal succession plan</w:t>
            </w:r>
          </w:p>
        </w:tc>
        <w:tc>
          <w:tcPr>
            <w:tcW w:w="4675" w:type="dxa"/>
            <w:vAlign w:val="center"/>
          </w:tcPr>
          <w:p w14:paraId="45AB50E6" w14:textId="77777777" w:rsidR="004C5AAC" w:rsidRPr="008A4064" w:rsidRDefault="004C5AAC" w:rsidP="00CF744E">
            <w:pPr>
              <w:numPr>
                <w:ilvl w:val="0"/>
                <w:numId w:val="23"/>
              </w:numPr>
              <w:pBdr>
                <w:top w:val="nil"/>
                <w:left w:val="nil"/>
                <w:bottom w:val="nil"/>
                <w:right w:val="nil"/>
                <w:between w:val="nil"/>
              </w:pBdr>
              <w:rPr>
                <w:color w:val="000000"/>
              </w:rPr>
            </w:pPr>
            <w:r w:rsidRPr="008A4064">
              <w:rPr>
                <w:rFonts w:eastAsia="Calibri"/>
                <w:color w:val="000000"/>
              </w:rPr>
              <w:lastRenderedPageBreak/>
              <w:t>Completed draft succession plan.</w:t>
            </w:r>
          </w:p>
        </w:tc>
      </w:tr>
      <w:tr w:rsidR="004C5AAC" w:rsidRPr="008A4064" w14:paraId="07E54412" w14:textId="77777777" w:rsidTr="00FD4983">
        <w:tc>
          <w:tcPr>
            <w:tcW w:w="4675" w:type="dxa"/>
            <w:vAlign w:val="center"/>
          </w:tcPr>
          <w:p w14:paraId="5DA51FB8" w14:textId="77777777" w:rsidR="004C5AAC" w:rsidRPr="008A4064" w:rsidRDefault="004C5AAC" w:rsidP="00CF744E">
            <w:pPr>
              <w:numPr>
                <w:ilvl w:val="0"/>
                <w:numId w:val="22"/>
              </w:numPr>
              <w:pBdr>
                <w:top w:val="nil"/>
                <w:left w:val="nil"/>
                <w:bottom w:val="nil"/>
                <w:right w:val="nil"/>
                <w:between w:val="nil"/>
              </w:pBdr>
              <w:rPr>
                <w:color w:val="000000"/>
              </w:rPr>
            </w:pPr>
            <w:r w:rsidRPr="008A4064">
              <w:rPr>
                <w:rFonts w:eastAsia="Calibri"/>
                <w:color w:val="000000"/>
              </w:rPr>
              <w:t>Assist agency to establish a method and policy for rate-setting and evaluating the performance of service providers</w:t>
            </w:r>
          </w:p>
        </w:tc>
        <w:tc>
          <w:tcPr>
            <w:tcW w:w="4675" w:type="dxa"/>
            <w:vAlign w:val="center"/>
          </w:tcPr>
          <w:p w14:paraId="22BEAC50" w14:textId="77777777" w:rsidR="004C5AAC" w:rsidRPr="008A4064" w:rsidRDefault="004C5AAC" w:rsidP="00CF744E">
            <w:pPr>
              <w:numPr>
                <w:ilvl w:val="0"/>
                <w:numId w:val="23"/>
              </w:numPr>
              <w:pBdr>
                <w:top w:val="nil"/>
                <w:left w:val="nil"/>
                <w:bottom w:val="nil"/>
                <w:right w:val="nil"/>
                <w:between w:val="nil"/>
              </w:pBdr>
              <w:rPr>
                <w:color w:val="000000"/>
              </w:rPr>
            </w:pPr>
            <w:r w:rsidRPr="008A4064">
              <w:rPr>
                <w:rFonts w:eastAsia="Calibri"/>
                <w:color w:val="000000"/>
              </w:rPr>
              <w:t xml:space="preserve">Draft policy and procedure on rate-setting and evaluating performance of service providers completed. </w:t>
            </w:r>
          </w:p>
        </w:tc>
      </w:tr>
      <w:tr w:rsidR="004C5AAC" w:rsidRPr="008A4064" w14:paraId="44B1141D" w14:textId="77777777" w:rsidTr="00FD4983">
        <w:tc>
          <w:tcPr>
            <w:tcW w:w="9350" w:type="dxa"/>
            <w:gridSpan w:val="2"/>
            <w:shd w:val="clear" w:color="auto" w:fill="D9E2F3"/>
          </w:tcPr>
          <w:p w14:paraId="01711333" w14:textId="77777777" w:rsidR="004C5AAC" w:rsidRPr="008A4064" w:rsidRDefault="004C5AAC" w:rsidP="00FD4983">
            <w:pPr>
              <w:pBdr>
                <w:top w:val="nil"/>
                <w:left w:val="nil"/>
                <w:bottom w:val="nil"/>
                <w:right w:val="nil"/>
                <w:between w:val="nil"/>
              </w:pBdr>
              <w:ind w:left="360"/>
              <w:jc w:val="center"/>
              <w:rPr>
                <w:b/>
                <w:color w:val="000000"/>
              </w:rPr>
            </w:pPr>
            <w:r w:rsidRPr="008A4064">
              <w:rPr>
                <w:rFonts w:eastAsia="Calibri"/>
                <w:b/>
                <w:color w:val="000000"/>
              </w:rPr>
              <w:t>OUTCOMES</w:t>
            </w:r>
          </w:p>
          <w:p w14:paraId="69FA48E4" w14:textId="77777777" w:rsidR="004C5AAC" w:rsidRPr="008A4064" w:rsidRDefault="004C5AAC" w:rsidP="00FD4983">
            <w:pPr>
              <w:pBdr>
                <w:top w:val="nil"/>
                <w:left w:val="nil"/>
                <w:bottom w:val="nil"/>
                <w:right w:val="nil"/>
                <w:between w:val="nil"/>
              </w:pBdr>
              <w:ind w:left="360"/>
              <w:jc w:val="center"/>
              <w:rPr>
                <w:b/>
                <w:color w:val="000000"/>
              </w:rPr>
            </w:pPr>
            <w:r w:rsidRPr="008A4064">
              <w:rPr>
                <w:rFonts w:eastAsia="Calibri"/>
                <w:b/>
                <w:color w:val="000000"/>
              </w:rPr>
              <w:t>Short to Mid-Term</w:t>
            </w:r>
          </w:p>
          <w:p w14:paraId="41CB49F7" w14:textId="77777777" w:rsidR="004C5AAC" w:rsidRPr="008A4064" w:rsidRDefault="004C5AAC" w:rsidP="00CF744E">
            <w:pPr>
              <w:numPr>
                <w:ilvl w:val="0"/>
                <w:numId w:val="24"/>
              </w:numPr>
              <w:pBdr>
                <w:top w:val="nil"/>
                <w:left w:val="nil"/>
                <w:bottom w:val="nil"/>
                <w:right w:val="nil"/>
                <w:between w:val="nil"/>
              </w:pBdr>
              <w:spacing w:after="0"/>
            </w:pPr>
            <w:r w:rsidRPr="008A4064">
              <w:rPr>
                <w:rFonts w:eastAsia="Calibri"/>
                <w:color w:val="000000"/>
              </w:rPr>
              <w:t xml:space="preserve">SVRA successfully reports accurate and valid data related to </w:t>
            </w:r>
            <w:r w:rsidRPr="008A4064">
              <w:rPr>
                <w:rFonts w:eastAsia="Calibri"/>
                <w:i/>
                <w:color w:val="000000"/>
              </w:rPr>
              <w:t>[insert goal – e.g., decreased errors in RSA-911 quarterly report, service provision]</w:t>
            </w:r>
            <w:r w:rsidRPr="008A4064">
              <w:rPr>
                <w:rFonts w:eastAsia="Calibri"/>
                <w:color w:val="000000"/>
              </w:rPr>
              <w:t>.</w:t>
            </w:r>
          </w:p>
          <w:p w14:paraId="2EE166B1" w14:textId="77777777" w:rsidR="004C5AAC" w:rsidRPr="008A4064" w:rsidRDefault="004C5AAC" w:rsidP="00FD4983">
            <w:pPr>
              <w:pBdr>
                <w:top w:val="nil"/>
                <w:left w:val="nil"/>
                <w:bottom w:val="nil"/>
                <w:right w:val="nil"/>
                <w:between w:val="nil"/>
              </w:pBdr>
              <w:ind w:left="1080"/>
              <w:rPr>
                <w:color w:val="000000"/>
              </w:rPr>
            </w:pPr>
            <w:r w:rsidRPr="008A4064">
              <w:rPr>
                <w:rFonts w:eastAsia="Calibri"/>
                <w:i/>
                <w:color w:val="000000"/>
              </w:rPr>
              <w:t>Measurement</w:t>
            </w:r>
            <w:r w:rsidRPr="008A4064">
              <w:rPr>
                <w:rFonts w:eastAsia="Calibri"/>
                <w:color w:val="000000"/>
              </w:rPr>
              <w:t>:  The results of the [</w:t>
            </w:r>
            <w:r w:rsidRPr="008A4064">
              <w:rPr>
                <w:rFonts w:eastAsia="Calibri"/>
                <w:i/>
                <w:color w:val="000000"/>
              </w:rPr>
              <w:t>insert goal</w:t>
            </w:r>
            <w:r w:rsidRPr="008A4064">
              <w:rPr>
                <w:rFonts w:eastAsia="Calibri"/>
                <w:color w:val="000000"/>
              </w:rPr>
              <w:t>] will be compared against the previous year’s actual numbers and/or rates.</w:t>
            </w:r>
          </w:p>
          <w:p w14:paraId="182D659A" w14:textId="77777777" w:rsidR="004C5AAC" w:rsidRPr="008A4064" w:rsidRDefault="004C5AAC" w:rsidP="00CF744E">
            <w:pPr>
              <w:numPr>
                <w:ilvl w:val="0"/>
                <w:numId w:val="24"/>
              </w:numPr>
              <w:pBdr>
                <w:top w:val="nil"/>
                <w:left w:val="nil"/>
                <w:bottom w:val="nil"/>
                <w:right w:val="nil"/>
                <w:between w:val="nil"/>
              </w:pBdr>
              <w:spacing w:after="0"/>
            </w:pPr>
            <w:r w:rsidRPr="008A4064">
              <w:rPr>
                <w:rFonts w:eastAsia="Calibri"/>
                <w:color w:val="000000"/>
              </w:rPr>
              <w:t>Increase in the rate of consumers found eligible within 60 days from application</w:t>
            </w:r>
          </w:p>
          <w:p w14:paraId="209F7B7F" w14:textId="77777777" w:rsidR="004C5AAC" w:rsidRPr="008A4064" w:rsidRDefault="004C5AAC" w:rsidP="00CF744E">
            <w:pPr>
              <w:numPr>
                <w:ilvl w:val="0"/>
                <w:numId w:val="24"/>
              </w:numPr>
              <w:pBdr>
                <w:top w:val="nil"/>
                <w:left w:val="nil"/>
                <w:bottom w:val="nil"/>
                <w:right w:val="nil"/>
                <w:between w:val="nil"/>
              </w:pBdr>
              <w:spacing w:after="0"/>
            </w:pPr>
            <w:r w:rsidRPr="008A4064">
              <w:rPr>
                <w:rFonts w:eastAsia="Calibri"/>
                <w:color w:val="000000"/>
              </w:rPr>
              <w:t>There will be an increase in experienced and qualified staff that are prepared to assume leadership roles in the agency.</w:t>
            </w:r>
          </w:p>
          <w:p w14:paraId="2151739B" w14:textId="77777777" w:rsidR="004C5AAC" w:rsidRPr="008A4064" w:rsidRDefault="004C5AAC" w:rsidP="00FD4983">
            <w:pPr>
              <w:pBdr>
                <w:top w:val="nil"/>
                <w:left w:val="nil"/>
                <w:bottom w:val="nil"/>
                <w:right w:val="nil"/>
                <w:between w:val="nil"/>
              </w:pBdr>
              <w:ind w:left="1080"/>
              <w:rPr>
                <w:color w:val="000000"/>
              </w:rPr>
            </w:pPr>
          </w:p>
          <w:p w14:paraId="4CCCCB30" w14:textId="77777777" w:rsidR="004C5AAC" w:rsidRPr="008A4064" w:rsidRDefault="004C5AAC" w:rsidP="00FD4983">
            <w:pPr>
              <w:pBdr>
                <w:top w:val="nil"/>
                <w:left w:val="nil"/>
                <w:bottom w:val="nil"/>
                <w:right w:val="nil"/>
                <w:between w:val="nil"/>
              </w:pBdr>
              <w:ind w:left="360"/>
              <w:jc w:val="center"/>
              <w:rPr>
                <w:b/>
                <w:color w:val="000000"/>
              </w:rPr>
            </w:pPr>
            <w:r w:rsidRPr="008A4064">
              <w:rPr>
                <w:rFonts w:eastAsia="Calibri"/>
                <w:b/>
                <w:color w:val="000000"/>
              </w:rPr>
              <w:t>Long-Term</w:t>
            </w:r>
          </w:p>
          <w:p w14:paraId="679BCE05" w14:textId="77777777" w:rsidR="004C5AAC" w:rsidRPr="008A4064" w:rsidRDefault="004C5AAC" w:rsidP="00CF744E">
            <w:pPr>
              <w:numPr>
                <w:ilvl w:val="0"/>
                <w:numId w:val="21"/>
              </w:numPr>
              <w:pBdr>
                <w:top w:val="nil"/>
                <w:left w:val="nil"/>
                <w:bottom w:val="nil"/>
                <w:right w:val="nil"/>
                <w:between w:val="nil"/>
              </w:pBdr>
              <w:spacing w:after="0"/>
            </w:pPr>
            <w:r w:rsidRPr="008A4064">
              <w:rPr>
                <w:rFonts w:eastAsia="Calibri"/>
                <w:color w:val="000000"/>
              </w:rPr>
              <w:t>SVRA will achieve increased outcomes at [</w:t>
            </w:r>
            <w:r w:rsidRPr="008A4064">
              <w:rPr>
                <w:rFonts w:eastAsia="Calibri"/>
                <w:i/>
                <w:color w:val="000000"/>
              </w:rPr>
              <w:t>insert percentage – e.g., 5%, 10%</w:t>
            </w:r>
            <w:r w:rsidRPr="008A4064">
              <w:rPr>
                <w:rFonts w:eastAsia="Calibri"/>
                <w:color w:val="000000"/>
              </w:rPr>
              <w:t>] related to [</w:t>
            </w:r>
            <w:r w:rsidRPr="008A4064">
              <w:rPr>
                <w:rFonts w:eastAsia="Calibri"/>
                <w:i/>
                <w:color w:val="000000"/>
              </w:rPr>
              <w:t>insert goal – e.g., competitive integrated employment, wages at exit</w:t>
            </w:r>
            <w:r w:rsidRPr="008A4064">
              <w:rPr>
                <w:rFonts w:eastAsia="Calibri"/>
                <w:color w:val="000000"/>
              </w:rPr>
              <w:t>].</w:t>
            </w:r>
          </w:p>
          <w:p w14:paraId="5F3B90FF" w14:textId="77777777" w:rsidR="004C5AAC" w:rsidRPr="008A4064" w:rsidRDefault="004C5AAC" w:rsidP="00FD4983">
            <w:pPr>
              <w:pBdr>
                <w:top w:val="nil"/>
                <w:left w:val="nil"/>
                <w:bottom w:val="nil"/>
                <w:right w:val="nil"/>
                <w:between w:val="nil"/>
              </w:pBdr>
              <w:ind w:left="1080"/>
              <w:rPr>
                <w:color w:val="000000"/>
              </w:rPr>
            </w:pPr>
            <w:r w:rsidRPr="008A4064">
              <w:rPr>
                <w:rFonts w:eastAsia="Calibri"/>
                <w:i/>
                <w:color w:val="000000"/>
              </w:rPr>
              <w:t>Measurement</w:t>
            </w:r>
            <w:r w:rsidRPr="008A4064">
              <w:rPr>
                <w:rFonts w:eastAsia="Calibri"/>
                <w:color w:val="000000"/>
              </w:rPr>
              <w:t>:  The results of the [</w:t>
            </w:r>
            <w:r w:rsidRPr="008A4064">
              <w:rPr>
                <w:rFonts w:eastAsia="Calibri"/>
                <w:i/>
                <w:color w:val="000000"/>
              </w:rPr>
              <w:t>insert goal</w:t>
            </w:r>
            <w:r w:rsidRPr="008A4064">
              <w:rPr>
                <w:rFonts w:eastAsia="Calibri"/>
                <w:color w:val="000000"/>
              </w:rPr>
              <w:t>] will be compared against the previous year’s actual numbers and/or rates.</w:t>
            </w:r>
          </w:p>
          <w:p w14:paraId="0B367828" w14:textId="77777777" w:rsidR="004C5AAC" w:rsidRPr="008A4064" w:rsidRDefault="004C5AAC" w:rsidP="00CF744E">
            <w:pPr>
              <w:numPr>
                <w:ilvl w:val="0"/>
                <w:numId w:val="21"/>
              </w:numPr>
              <w:pBdr>
                <w:top w:val="nil"/>
                <w:left w:val="nil"/>
                <w:bottom w:val="nil"/>
                <w:right w:val="nil"/>
                <w:between w:val="nil"/>
              </w:pBdr>
              <w:spacing w:after="0"/>
            </w:pPr>
            <w:r w:rsidRPr="008A4064">
              <w:rPr>
                <w:rFonts w:eastAsia="Calibri"/>
                <w:color w:val="000000"/>
              </w:rPr>
              <w:t xml:space="preserve">SVRA will achieve program improvement </w:t>
            </w:r>
            <w:proofErr w:type="gramStart"/>
            <w:r w:rsidRPr="008A4064">
              <w:rPr>
                <w:rFonts w:eastAsia="Calibri"/>
                <w:color w:val="000000"/>
              </w:rPr>
              <w:t>in the area of</w:t>
            </w:r>
            <w:proofErr w:type="gramEnd"/>
            <w:r w:rsidRPr="008A4064">
              <w:rPr>
                <w:rFonts w:eastAsia="Calibri"/>
                <w:color w:val="000000"/>
              </w:rPr>
              <w:t xml:space="preserve"> [</w:t>
            </w:r>
            <w:r w:rsidRPr="008A4064">
              <w:rPr>
                <w:rFonts w:eastAsia="Calibri"/>
                <w:i/>
                <w:color w:val="000000"/>
              </w:rPr>
              <w:t>insert goal – e.g., provision of services, regulation adherence, CAP</w:t>
            </w:r>
            <w:r w:rsidRPr="008A4064">
              <w:rPr>
                <w:rFonts w:eastAsia="Calibri"/>
                <w:color w:val="000000"/>
              </w:rPr>
              <w:t>].</w:t>
            </w:r>
          </w:p>
          <w:p w14:paraId="43AC5120" w14:textId="77777777" w:rsidR="004C5AAC" w:rsidRPr="008A4064" w:rsidRDefault="004C5AAC" w:rsidP="00FD4983">
            <w:pPr>
              <w:pBdr>
                <w:top w:val="nil"/>
                <w:left w:val="nil"/>
                <w:bottom w:val="nil"/>
                <w:right w:val="nil"/>
                <w:between w:val="nil"/>
              </w:pBdr>
              <w:ind w:left="1080"/>
              <w:rPr>
                <w:color w:val="000000"/>
              </w:rPr>
            </w:pPr>
            <w:r w:rsidRPr="008A4064">
              <w:rPr>
                <w:rFonts w:eastAsia="Calibri"/>
                <w:i/>
                <w:color w:val="000000"/>
              </w:rPr>
              <w:t>Measurement</w:t>
            </w:r>
            <w:r w:rsidRPr="008A4064">
              <w:rPr>
                <w:rFonts w:eastAsia="Calibri"/>
                <w:color w:val="000000"/>
              </w:rPr>
              <w:t>:  The results of the [</w:t>
            </w:r>
            <w:r w:rsidRPr="008A4064">
              <w:rPr>
                <w:rFonts w:eastAsia="Calibri"/>
                <w:i/>
                <w:color w:val="000000"/>
              </w:rPr>
              <w:t>insert goal</w:t>
            </w:r>
            <w:r w:rsidRPr="008A4064">
              <w:rPr>
                <w:rFonts w:eastAsia="Calibri"/>
                <w:color w:val="000000"/>
              </w:rPr>
              <w:t>] will be compared against the previous year’s actual numbers and/or rates.</w:t>
            </w:r>
          </w:p>
        </w:tc>
      </w:tr>
    </w:tbl>
    <w:p w14:paraId="5B9CFDFC" w14:textId="77777777" w:rsidR="009E7CB5" w:rsidRDefault="009E7CB5" w:rsidP="009E7CB5">
      <w:pPr>
        <w:pStyle w:val="NoSpacing"/>
        <w:spacing w:before="120"/>
      </w:pPr>
    </w:p>
    <w:p w14:paraId="6E1A6378" w14:textId="30C8917A" w:rsidR="004C5AAC" w:rsidRDefault="00746707" w:rsidP="009E7CB5">
      <w:pPr>
        <w:pStyle w:val="NoSpacing"/>
        <w:spacing w:before="120"/>
      </w:pPr>
      <w:r>
        <w:t>Table 3: WIOA Performance Accountability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46707" w:rsidRPr="007E07A4" w14:paraId="2F2F782E" w14:textId="77777777" w:rsidTr="00FD4983">
        <w:tc>
          <w:tcPr>
            <w:tcW w:w="4675" w:type="dxa"/>
            <w:shd w:val="clear" w:color="auto" w:fill="D9E2F3"/>
          </w:tcPr>
          <w:p w14:paraId="46C275AF" w14:textId="77777777" w:rsidR="00746707" w:rsidRPr="007E07A4" w:rsidRDefault="00746707" w:rsidP="00FD4983">
            <w:pPr>
              <w:pBdr>
                <w:top w:val="nil"/>
                <w:left w:val="nil"/>
                <w:bottom w:val="nil"/>
                <w:right w:val="nil"/>
                <w:between w:val="nil"/>
              </w:pBdr>
              <w:ind w:left="720"/>
              <w:jc w:val="center"/>
              <w:rPr>
                <w:b/>
                <w:color w:val="000000"/>
              </w:rPr>
            </w:pPr>
            <w:r w:rsidRPr="007E07A4">
              <w:rPr>
                <w:rFonts w:eastAsia="Calibri"/>
                <w:b/>
                <w:color w:val="000000"/>
              </w:rPr>
              <w:t>ACTIVITIES</w:t>
            </w:r>
          </w:p>
        </w:tc>
        <w:tc>
          <w:tcPr>
            <w:tcW w:w="4675" w:type="dxa"/>
            <w:shd w:val="clear" w:color="auto" w:fill="D9E2F3"/>
          </w:tcPr>
          <w:p w14:paraId="2D29946A" w14:textId="77777777" w:rsidR="00746707" w:rsidRPr="007E07A4" w:rsidRDefault="00746707" w:rsidP="00FD4983">
            <w:pPr>
              <w:jc w:val="center"/>
              <w:rPr>
                <w:b/>
              </w:rPr>
            </w:pPr>
            <w:r w:rsidRPr="007E07A4">
              <w:rPr>
                <w:b/>
              </w:rPr>
              <w:t>OUTPUTS</w:t>
            </w:r>
          </w:p>
        </w:tc>
      </w:tr>
      <w:tr w:rsidR="00746707" w:rsidRPr="007E07A4" w14:paraId="6C3D1F3C" w14:textId="77777777" w:rsidTr="00FD4983">
        <w:tc>
          <w:tcPr>
            <w:tcW w:w="4675" w:type="dxa"/>
            <w:vAlign w:val="center"/>
          </w:tcPr>
          <w:p w14:paraId="4B22561A"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Analyze VR agency readiness and capacity to track and report data for (i.e., RSA-911 and supporting documentation) the WIOA Performance Indicators</w:t>
            </w:r>
          </w:p>
        </w:tc>
        <w:tc>
          <w:tcPr>
            <w:tcW w:w="4675" w:type="dxa"/>
            <w:vAlign w:val="center"/>
          </w:tcPr>
          <w:p w14:paraId="7F4DF1AB"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assessment with identified implementation strategies and timelines necessary to accurately track and report the RSA-911 and supporting documentation data for the WIOA Performance Indicators</w:t>
            </w:r>
          </w:p>
        </w:tc>
      </w:tr>
      <w:tr w:rsidR="00746707" w:rsidRPr="007E07A4" w14:paraId="006F59F1" w14:textId="77777777" w:rsidTr="00FD4983">
        <w:tc>
          <w:tcPr>
            <w:tcW w:w="4675" w:type="dxa"/>
            <w:vAlign w:val="center"/>
          </w:tcPr>
          <w:p w14:paraId="7FE43335"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Review, develop and/or revise, as needed, policies and procedures for the WIOA Performance Accountability System</w:t>
            </w:r>
          </w:p>
        </w:tc>
        <w:tc>
          <w:tcPr>
            <w:tcW w:w="4675" w:type="dxa"/>
            <w:vAlign w:val="center"/>
          </w:tcPr>
          <w:p w14:paraId="708D868A"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draft/revised policies and procedures recommendations</w:t>
            </w:r>
          </w:p>
        </w:tc>
      </w:tr>
      <w:tr w:rsidR="00746707" w:rsidRPr="007E07A4" w14:paraId="001BA826" w14:textId="77777777" w:rsidTr="00FD4983">
        <w:tc>
          <w:tcPr>
            <w:tcW w:w="4675" w:type="dxa"/>
            <w:vAlign w:val="center"/>
          </w:tcPr>
          <w:p w14:paraId="4ADA2521"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lastRenderedPageBreak/>
              <w:t>Review, develop and/or revise, as needed, written internal controls necessary for the WIOA Performance Accountability System</w:t>
            </w:r>
          </w:p>
        </w:tc>
        <w:tc>
          <w:tcPr>
            <w:tcW w:w="4675" w:type="dxa"/>
            <w:vAlign w:val="center"/>
          </w:tcPr>
          <w:p w14:paraId="2DCF2DC5"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draft/revised internal controls and written procedures recommendations</w:t>
            </w:r>
          </w:p>
        </w:tc>
      </w:tr>
      <w:tr w:rsidR="00746707" w:rsidRPr="007E07A4" w14:paraId="10D12805" w14:textId="77777777" w:rsidTr="00FD4983">
        <w:tc>
          <w:tcPr>
            <w:tcW w:w="4675" w:type="dxa"/>
            <w:vAlign w:val="center"/>
          </w:tcPr>
          <w:p w14:paraId="400E7B84"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Assist VR Administration in identifying areas related to the WIOA Performance Indicators needing improvement through data analytics (e.g., RSA-911, case management system, targets, participant achievements)</w:t>
            </w:r>
          </w:p>
        </w:tc>
        <w:tc>
          <w:tcPr>
            <w:tcW w:w="4675" w:type="dxa"/>
            <w:vAlign w:val="center"/>
          </w:tcPr>
          <w:p w14:paraId="06A55C43"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plan with identified implementation needs, required data, roles, and responsibilities, and other</w:t>
            </w:r>
          </w:p>
        </w:tc>
      </w:tr>
      <w:tr w:rsidR="00746707" w:rsidRPr="007E07A4" w14:paraId="0709CFD2" w14:textId="77777777" w:rsidTr="00FD4983">
        <w:tc>
          <w:tcPr>
            <w:tcW w:w="4675" w:type="dxa"/>
            <w:vAlign w:val="center"/>
          </w:tcPr>
          <w:p w14:paraId="42F90BB4"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Assist VR leadership in the development of a program improvement plan for [</w:t>
            </w:r>
            <w:r w:rsidRPr="007E07A4">
              <w:rPr>
                <w:rFonts w:eastAsia="Calibri"/>
                <w:i/>
                <w:color w:val="000000"/>
              </w:rPr>
              <w:t>insert WIOA Performance topic/requirement – e.g., increasing MSG, reporting post-exit data</w:t>
            </w:r>
            <w:r w:rsidRPr="007E07A4">
              <w:rPr>
                <w:rFonts w:eastAsia="Calibri"/>
                <w:color w:val="000000"/>
              </w:rPr>
              <w:t>]</w:t>
            </w:r>
          </w:p>
        </w:tc>
        <w:tc>
          <w:tcPr>
            <w:tcW w:w="4675" w:type="dxa"/>
            <w:vAlign w:val="center"/>
          </w:tcPr>
          <w:p w14:paraId="6742C198"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plan for [</w:t>
            </w:r>
            <w:r w:rsidRPr="007E07A4">
              <w:rPr>
                <w:rFonts w:eastAsia="Calibri"/>
                <w:i/>
                <w:color w:val="000000"/>
              </w:rPr>
              <w:t>insert WIOA Performance topic/requirement – e.g., increasing MSG, reporting post-exit data</w:t>
            </w:r>
            <w:r w:rsidRPr="007E07A4">
              <w:rPr>
                <w:rFonts w:eastAsia="Calibri"/>
                <w:color w:val="000000"/>
              </w:rPr>
              <w:t>] with identified implementation needs, required data, roles, and responsibilities, and other</w:t>
            </w:r>
          </w:p>
        </w:tc>
      </w:tr>
      <w:tr w:rsidR="00746707" w:rsidRPr="007E07A4" w14:paraId="7DDCE9F2" w14:textId="77777777" w:rsidTr="00FD4983">
        <w:tc>
          <w:tcPr>
            <w:tcW w:w="4675" w:type="dxa"/>
            <w:vAlign w:val="center"/>
          </w:tcPr>
          <w:p w14:paraId="1E765879"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Assist VR agency in responding to and developing strategies necessary to meet the WIOA Section 116 technical assistance requirements identified by RSA after a performance failure</w:t>
            </w:r>
          </w:p>
        </w:tc>
        <w:tc>
          <w:tcPr>
            <w:tcW w:w="4675" w:type="dxa"/>
            <w:vAlign w:val="center"/>
          </w:tcPr>
          <w:p w14:paraId="3D2CE1BD"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draft/revised response and strategy recommendations</w:t>
            </w:r>
          </w:p>
        </w:tc>
      </w:tr>
      <w:tr w:rsidR="00746707" w:rsidRPr="007E07A4" w14:paraId="6A33AC51" w14:textId="77777777" w:rsidTr="00FD4983">
        <w:tc>
          <w:tcPr>
            <w:tcW w:w="4675" w:type="dxa"/>
            <w:vAlign w:val="center"/>
          </w:tcPr>
          <w:p w14:paraId="1F07E466"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 xml:space="preserve">Assist VR agency in developing strategies for data analysis and data-informed decision-making (visual analytics – Tableau, tracking reports, etc.) for meeting or exceeding WIOA performance established targets </w:t>
            </w:r>
          </w:p>
        </w:tc>
        <w:tc>
          <w:tcPr>
            <w:tcW w:w="4675" w:type="dxa"/>
            <w:vAlign w:val="center"/>
          </w:tcPr>
          <w:p w14:paraId="0CD1DDB9"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draft/revised strategies including data analysis and data-informed decision-making recommendations</w:t>
            </w:r>
          </w:p>
        </w:tc>
      </w:tr>
      <w:tr w:rsidR="009E7CB5" w:rsidRPr="008A4064" w14:paraId="3CF85D22" w14:textId="77777777" w:rsidTr="00FD4983">
        <w:tc>
          <w:tcPr>
            <w:tcW w:w="4675" w:type="dxa"/>
            <w:shd w:val="clear" w:color="auto" w:fill="D9E2F3"/>
          </w:tcPr>
          <w:p w14:paraId="220F5F6D" w14:textId="77777777" w:rsidR="009E7CB5" w:rsidRPr="008A4064" w:rsidRDefault="009E7CB5" w:rsidP="00FD4983">
            <w:pPr>
              <w:pBdr>
                <w:top w:val="nil"/>
                <w:left w:val="nil"/>
                <w:bottom w:val="nil"/>
                <w:right w:val="nil"/>
                <w:between w:val="nil"/>
              </w:pBdr>
              <w:ind w:left="720"/>
              <w:jc w:val="center"/>
              <w:rPr>
                <w:b/>
                <w:color w:val="000000"/>
              </w:rPr>
            </w:pPr>
            <w:r w:rsidRPr="008A4064">
              <w:rPr>
                <w:rFonts w:eastAsia="Calibri"/>
                <w:b/>
                <w:color w:val="000000"/>
              </w:rPr>
              <w:t>ACTIVITIES</w:t>
            </w:r>
          </w:p>
        </w:tc>
        <w:tc>
          <w:tcPr>
            <w:tcW w:w="4675" w:type="dxa"/>
            <w:shd w:val="clear" w:color="auto" w:fill="D9E2F3"/>
          </w:tcPr>
          <w:p w14:paraId="42CC918B" w14:textId="77777777" w:rsidR="009E7CB5" w:rsidRPr="008A4064" w:rsidRDefault="009E7CB5" w:rsidP="00FD4983">
            <w:pPr>
              <w:jc w:val="center"/>
              <w:rPr>
                <w:b/>
              </w:rPr>
            </w:pPr>
            <w:r w:rsidRPr="008A4064">
              <w:rPr>
                <w:b/>
              </w:rPr>
              <w:t>OUTPUTS</w:t>
            </w:r>
          </w:p>
        </w:tc>
      </w:tr>
      <w:tr w:rsidR="00746707" w:rsidRPr="007E07A4" w14:paraId="261A56AD" w14:textId="77777777" w:rsidTr="00FD4983">
        <w:tc>
          <w:tcPr>
            <w:tcW w:w="4675" w:type="dxa"/>
            <w:vAlign w:val="center"/>
          </w:tcPr>
          <w:p w14:paraId="5B667C69"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Assist VR agency’s data/case management system and program staff to develop/revise data collection processes for the WIOA Performance Indicators</w:t>
            </w:r>
          </w:p>
        </w:tc>
        <w:tc>
          <w:tcPr>
            <w:tcW w:w="4675" w:type="dxa"/>
            <w:vAlign w:val="center"/>
          </w:tcPr>
          <w:p w14:paraId="05BFB1F2"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Completed recommendations and/or implementation for data collection processes for the WIOA Performance Indicators</w:t>
            </w:r>
          </w:p>
        </w:tc>
      </w:tr>
      <w:tr w:rsidR="00746707" w:rsidRPr="007E07A4" w14:paraId="4D472307" w14:textId="77777777" w:rsidTr="00FD4983">
        <w:tc>
          <w:tcPr>
            <w:tcW w:w="4675" w:type="dxa"/>
            <w:vAlign w:val="center"/>
          </w:tcPr>
          <w:p w14:paraId="5B7BE271" w14:textId="77777777" w:rsidR="00746707" w:rsidRPr="007E07A4" w:rsidRDefault="00746707" w:rsidP="00CF744E">
            <w:pPr>
              <w:numPr>
                <w:ilvl w:val="0"/>
                <w:numId w:val="25"/>
              </w:numPr>
              <w:pBdr>
                <w:top w:val="nil"/>
                <w:left w:val="nil"/>
                <w:bottom w:val="nil"/>
                <w:right w:val="nil"/>
                <w:between w:val="nil"/>
              </w:pBdr>
            </w:pPr>
            <w:r w:rsidRPr="007E07A4">
              <w:rPr>
                <w:rFonts w:eastAsia="Calibri"/>
                <w:color w:val="000000"/>
              </w:rPr>
              <w:t>Staff training on [</w:t>
            </w:r>
            <w:r w:rsidRPr="007E07A4">
              <w:rPr>
                <w:rFonts w:eastAsia="Calibri"/>
                <w:i/>
                <w:color w:val="000000"/>
              </w:rPr>
              <w:t>insert topic/requirement – e.g., Education (CA/MSG), sanctions and negotiations</w:t>
            </w:r>
            <w:r w:rsidRPr="007E07A4">
              <w:rPr>
                <w:rFonts w:eastAsia="Calibri"/>
                <w:color w:val="000000"/>
              </w:rPr>
              <w:t>] of the WIOA Performance Accountability System</w:t>
            </w:r>
          </w:p>
        </w:tc>
        <w:tc>
          <w:tcPr>
            <w:tcW w:w="4675" w:type="dxa"/>
            <w:vAlign w:val="center"/>
          </w:tcPr>
          <w:p w14:paraId="3AAB00B6" w14:textId="77777777" w:rsidR="00746707" w:rsidRPr="007E07A4" w:rsidRDefault="00746707" w:rsidP="00CF744E">
            <w:pPr>
              <w:numPr>
                <w:ilvl w:val="0"/>
                <w:numId w:val="26"/>
              </w:numPr>
              <w:pBdr>
                <w:top w:val="nil"/>
                <w:left w:val="nil"/>
                <w:bottom w:val="nil"/>
                <w:right w:val="nil"/>
                <w:between w:val="nil"/>
              </w:pBdr>
            </w:pPr>
            <w:r w:rsidRPr="007E07A4">
              <w:rPr>
                <w:rFonts w:eastAsia="Calibri"/>
                <w:color w:val="000000"/>
              </w:rPr>
              <w:t>The number of staff that receive training on [</w:t>
            </w:r>
            <w:r w:rsidRPr="007E07A4">
              <w:rPr>
                <w:rFonts w:eastAsia="Calibri"/>
                <w:i/>
                <w:color w:val="000000"/>
              </w:rPr>
              <w:t>insert topic/requirement – e.g., Education (CA/MSG), sanctions and negotiations</w:t>
            </w:r>
            <w:r w:rsidRPr="007E07A4">
              <w:rPr>
                <w:rFonts w:eastAsia="Calibri"/>
                <w:color w:val="000000"/>
              </w:rPr>
              <w:t>]</w:t>
            </w:r>
          </w:p>
        </w:tc>
      </w:tr>
      <w:tr w:rsidR="00746707" w:rsidRPr="007E07A4" w14:paraId="1383FC18" w14:textId="77777777" w:rsidTr="00FD4983">
        <w:tc>
          <w:tcPr>
            <w:tcW w:w="9350" w:type="dxa"/>
            <w:gridSpan w:val="2"/>
            <w:shd w:val="clear" w:color="auto" w:fill="D9E2F3"/>
          </w:tcPr>
          <w:p w14:paraId="562376D8" w14:textId="77777777" w:rsidR="00746707" w:rsidRPr="007E07A4" w:rsidRDefault="00746707" w:rsidP="00FD4983">
            <w:pPr>
              <w:pBdr>
                <w:top w:val="nil"/>
                <w:left w:val="nil"/>
                <w:bottom w:val="nil"/>
                <w:right w:val="nil"/>
                <w:between w:val="nil"/>
              </w:pBdr>
              <w:ind w:left="360"/>
              <w:jc w:val="center"/>
              <w:rPr>
                <w:b/>
                <w:color w:val="000000"/>
              </w:rPr>
            </w:pPr>
            <w:r w:rsidRPr="007E07A4">
              <w:rPr>
                <w:rFonts w:eastAsia="Calibri"/>
                <w:b/>
                <w:color w:val="000000"/>
              </w:rPr>
              <w:t>OUTCOMES</w:t>
            </w:r>
          </w:p>
          <w:p w14:paraId="29932DFD" w14:textId="77777777" w:rsidR="00746707" w:rsidRPr="007E07A4" w:rsidRDefault="00746707" w:rsidP="00FD4983">
            <w:pPr>
              <w:pBdr>
                <w:top w:val="nil"/>
                <w:left w:val="nil"/>
                <w:bottom w:val="nil"/>
                <w:right w:val="nil"/>
                <w:between w:val="nil"/>
              </w:pBdr>
              <w:ind w:left="360"/>
              <w:jc w:val="center"/>
              <w:rPr>
                <w:b/>
                <w:color w:val="000000"/>
              </w:rPr>
            </w:pPr>
            <w:r w:rsidRPr="007E07A4">
              <w:rPr>
                <w:rFonts w:eastAsia="Calibri"/>
                <w:b/>
                <w:color w:val="000000"/>
              </w:rPr>
              <w:lastRenderedPageBreak/>
              <w:t>Short to Mid-Term</w:t>
            </w:r>
          </w:p>
          <w:p w14:paraId="0E57FD82" w14:textId="77777777" w:rsidR="00746707" w:rsidRPr="007E07A4" w:rsidRDefault="00746707" w:rsidP="00CF744E">
            <w:pPr>
              <w:numPr>
                <w:ilvl w:val="0"/>
                <w:numId w:val="28"/>
              </w:numPr>
              <w:pBdr>
                <w:top w:val="nil"/>
                <w:left w:val="nil"/>
                <w:bottom w:val="nil"/>
                <w:right w:val="nil"/>
                <w:between w:val="nil"/>
              </w:pBdr>
              <w:spacing w:after="0"/>
            </w:pPr>
            <w:r w:rsidRPr="007E07A4">
              <w:rPr>
                <w:rFonts w:eastAsia="Calibri"/>
                <w:color w:val="000000"/>
              </w:rPr>
              <w:t>SVRA successfully reports accurate and valid data related to [</w:t>
            </w:r>
            <w:r w:rsidRPr="007E07A4">
              <w:rPr>
                <w:rFonts w:eastAsia="Calibri"/>
                <w:i/>
                <w:color w:val="000000"/>
              </w:rPr>
              <w:t>insert goal – e.g., credential attainment rate, employment rates</w:t>
            </w:r>
            <w:r w:rsidRPr="007E07A4">
              <w:rPr>
                <w:rFonts w:eastAsia="Calibri"/>
                <w:color w:val="000000"/>
              </w:rPr>
              <w:t>].</w:t>
            </w:r>
          </w:p>
          <w:p w14:paraId="60A51959" w14:textId="77777777" w:rsidR="00746707" w:rsidRPr="007E07A4" w:rsidRDefault="00746707" w:rsidP="00FD4983">
            <w:pPr>
              <w:pBdr>
                <w:top w:val="nil"/>
                <w:left w:val="nil"/>
                <w:bottom w:val="nil"/>
                <w:right w:val="nil"/>
                <w:between w:val="nil"/>
              </w:pBdr>
              <w:ind w:left="1080"/>
              <w:rPr>
                <w:color w:val="000000"/>
              </w:rPr>
            </w:pPr>
            <w:r w:rsidRPr="007E07A4">
              <w:rPr>
                <w:rFonts w:eastAsia="Calibri"/>
                <w:i/>
                <w:color w:val="000000"/>
              </w:rPr>
              <w:t>Measurement</w:t>
            </w:r>
            <w:r w:rsidRPr="007E07A4">
              <w:rPr>
                <w:rFonts w:eastAsia="Calibri"/>
                <w:color w:val="000000"/>
              </w:rPr>
              <w:t>:  The results of the [</w:t>
            </w:r>
            <w:r w:rsidRPr="007E07A4">
              <w:rPr>
                <w:rFonts w:eastAsia="Calibri"/>
                <w:i/>
                <w:color w:val="000000"/>
              </w:rPr>
              <w:t>insert goal</w:t>
            </w:r>
            <w:r w:rsidRPr="007E07A4">
              <w:rPr>
                <w:rFonts w:eastAsia="Calibri"/>
                <w:color w:val="000000"/>
              </w:rPr>
              <w:t>] will be compared against the previous year’s actual performance rates.</w:t>
            </w:r>
          </w:p>
          <w:p w14:paraId="38CA6338" w14:textId="77777777" w:rsidR="00746707" w:rsidRPr="007E07A4" w:rsidRDefault="00746707" w:rsidP="00FD4983">
            <w:pPr>
              <w:pBdr>
                <w:top w:val="nil"/>
                <w:left w:val="nil"/>
                <w:bottom w:val="nil"/>
                <w:right w:val="nil"/>
                <w:between w:val="nil"/>
              </w:pBdr>
              <w:ind w:left="360"/>
              <w:jc w:val="center"/>
              <w:rPr>
                <w:b/>
                <w:color w:val="000000"/>
              </w:rPr>
            </w:pPr>
            <w:r w:rsidRPr="007E07A4">
              <w:rPr>
                <w:rFonts w:eastAsia="Calibri"/>
                <w:b/>
                <w:color w:val="000000"/>
              </w:rPr>
              <w:t>Long-Term</w:t>
            </w:r>
          </w:p>
          <w:p w14:paraId="474D26CC" w14:textId="77777777" w:rsidR="00746707" w:rsidRPr="007E07A4" w:rsidRDefault="00746707" w:rsidP="00CF744E">
            <w:pPr>
              <w:numPr>
                <w:ilvl w:val="0"/>
                <w:numId w:val="27"/>
              </w:numPr>
              <w:pBdr>
                <w:top w:val="nil"/>
                <w:left w:val="nil"/>
                <w:bottom w:val="nil"/>
                <w:right w:val="nil"/>
                <w:between w:val="nil"/>
              </w:pBdr>
              <w:spacing w:after="0"/>
            </w:pPr>
            <w:r w:rsidRPr="007E07A4">
              <w:rPr>
                <w:rFonts w:eastAsia="Calibri"/>
                <w:color w:val="000000"/>
              </w:rPr>
              <w:t>SVRA will successfully meet all WIOA established levels of performance.</w:t>
            </w:r>
          </w:p>
          <w:p w14:paraId="75D63693" w14:textId="77777777" w:rsidR="00746707" w:rsidRPr="007E07A4" w:rsidRDefault="00746707" w:rsidP="00FD4983">
            <w:pPr>
              <w:pBdr>
                <w:top w:val="nil"/>
                <w:left w:val="nil"/>
                <w:bottom w:val="nil"/>
                <w:right w:val="nil"/>
                <w:between w:val="nil"/>
              </w:pBdr>
              <w:ind w:left="1080"/>
              <w:rPr>
                <w:color w:val="000000"/>
              </w:rPr>
            </w:pPr>
            <w:r w:rsidRPr="007E07A4">
              <w:rPr>
                <w:rFonts w:eastAsia="Calibri"/>
                <w:i/>
                <w:color w:val="000000"/>
              </w:rPr>
              <w:t>Measurement</w:t>
            </w:r>
            <w:r w:rsidRPr="007E07A4">
              <w:rPr>
                <w:rFonts w:eastAsia="Calibri"/>
                <w:color w:val="000000"/>
              </w:rPr>
              <w:t>:  The results of each performance rate will be compared against the established targets on an annual basis.</w:t>
            </w:r>
          </w:p>
          <w:p w14:paraId="35F896C5" w14:textId="77777777" w:rsidR="00746707" w:rsidRPr="007E07A4" w:rsidRDefault="00746707" w:rsidP="00CF744E">
            <w:pPr>
              <w:numPr>
                <w:ilvl w:val="0"/>
                <w:numId w:val="27"/>
              </w:numPr>
              <w:pBdr>
                <w:top w:val="nil"/>
                <w:left w:val="nil"/>
                <w:bottom w:val="nil"/>
                <w:right w:val="nil"/>
                <w:between w:val="nil"/>
              </w:pBdr>
              <w:spacing w:after="0"/>
            </w:pPr>
            <w:r w:rsidRPr="007E07A4">
              <w:rPr>
                <w:rFonts w:eastAsia="Calibri"/>
                <w:color w:val="000000"/>
              </w:rPr>
              <w:t xml:space="preserve">SVRA will achieve program improvement </w:t>
            </w:r>
            <w:proofErr w:type="gramStart"/>
            <w:r w:rsidRPr="007E07A4">
              <w:rPr>
                <w:rFonts w:eastAsia="Calibri"/>
                <w:color w:val="000000"/>
              </w:rPr>
              <w:t>in the area of</w:t>
            </w:r>
            <w:proofErr w:type="gramEnd"/>
            <w:r w:rsidRPr="007E07A4">
              <w:rPr>
                <w:rFonts w:eastAsia="Calibri"/>
                <w:color w:val="000000"/>
              </w:rPr>
              <w:t xml:space="preserve"> [</w:t>
            </w:r>
            <w:r w:rsidRPr="007E07A4">
              <w:rPr>
                <w:rFonts w:eastAsia="Calibri"/>
                <w:i/>
                <w:color w:val="000000"/>
              </w:rPr>
              <w:t>insert goal – e.g., increased participants enrolled in education/training programs</w:t>
            </w:r>
            <w:r w:rsidRPr="007E07A4">
              <w:rPr>
                <w:rFonts w:eastAsia="Calibri"/>
                <w:color w:val="000000"/>
              </w:rPr>
              <w:t>].</w:t>
            </w:r>
          </w:p>
          <w:p w14:paraId="1CBCD6AA" w14:textId="77777777" w:rsidR="00746707" w:rsidRPr="007E07A4" w:rsidRDefault="00746707" w:rsidP="00FD4983">
            <w:pPr>
              <w:pBdr>
                <w:top w:val="nil"/>
                <w:left w:val="nil"/>
                <w:bottom w:val="nil"/>
                <w:right w:val="nil"/>
                <w:between w:val="nil"/>
              </w:pBdr>
              <w:ind w:left="1080"/>
              <w:rPr>
                <w:color w:val="000000"/>
              </w:rPr>
            </w:pPr>
            <w:r w:rsidRPr="007E07A4">
              <w:rPr>
                <w:rFonts w:eastAsia="Calibri"/>
                <w:i/>
                <w:color w:val="000000"/>
              </w:rPr>
              <w:t>Measurement</w:t>
            </w:r>
            <w:r w:rsidRPr="007E07A4">
              <w:rPr>
                <w:rFonts w:eastAsia="Calibri"/>
                <w:color w:val="000000"/>
              </w:rPr>
              <w:t>:  The results of the [</w:t>
            </w:r>
            <w:r w:rsidRPr="007E07A4">
              <w:rPr>
                <w:rFonts w:eastAsia="Calibri"/>
                <w:i/>
                <w:color w:val="000000"/>
              </w:rPr>
              <w:t>insert goal</w:t>
            </w:r>
            <w:r w:rsidRPr="007E07A4">
              <w:rPr>
                <w:rFonts w:eastAsia="Calibri"/>
                <w:color w:val="000000"/>
              </w:rPr>
              <w:t>] will be compared against the previous year’s actual numbers and/or rates.</w:t>
            </w:r>
          </w:p>
        </w:tc>
      </w:tr>
    </w:tbl>
    <w:p w14:paraId="43DA0B13" w14:textId="15DFD490" w:rsidR="0079771E" w:rsidRDefault="00743BAA" w:rsidP="00B2046A">
      <w:pPr>
        <w:spacing w:before="240"/>
        <w:rPr>
          <w:bCs/>
        </w:rPr>
      </w:pPr>
      <w:r w:rsidRPr="00743BAA">
        <w:rPr>
          <w:bCs/>
        </w:rPr>
        <w:lastRenderedPageBreak/>
        <w:t>The VRTAC-QM</w:t>
      </w:r>
      <w:r>
        <w:rPr>
          <w:bCs/>
        </w:rPr>
        <w:t xml:space="preserve"> completed four intensive TA agreements </w:t>
      </w:r>
      <w:r w:rsidR="004F650B">
        <w:rPr>
          <w:bCs/>
        </w:rPr>
        <w:t xml:space="preserve">(ITAAs) </w:t>
      </w:r>
      <w:r>
        <w:rPr>
          <w:bCs/>
        </w:rPr>
        <w:t>in the first year of the project. This total is one more than the three required by our cooperative agreement.</w:t>
      </w:r>
      <w:r w:rsidR="004F650B">
        <w:rPr>
          <w:bCs/>
        </w:rPr>
        <w:t xml:space="preserve"> The four State Vocational Rehabilitation Agencies (SVRAs) include Kansas Combined, Montana Combined, Delaware Blind and Pennsylvania Combined. </w:t>
      </w:r>
    </w:p>
    <w:p w14:paraId="50DA0C89" w14:textId="1A146427" w:rsidR="00743BAA" w:rsidRPr="00743BAA" w:rsidRDefault="004F650B" w:rsidP="00B2046A">
      <w:pPr>
        <w:spacing w:before="240"/>
        <w:rPr>
          <w:bCs/>
        </w:rPr>
      </w:pPr>
      <w:r>
        <w:rPr>
          <w:bCs/>
        </w:rPr>
        <w:t xml:space="preserve">When the ITAAs are completed and signed, a work plan is developed </w:t>
      </w:r>
      <w:r w:rsidR="0079771E">
        <w:rPr>
          <w:bCs/>
        </w:rPr>
        <w:t xml:space="preserve">and provided to the SVRA. The workplan details each of the activities in the ITAA and includes a progress bar that tracks the progress of completion for each activity, </w:t>
      </w:r>
      <w:proofErr w:type="gramStart"/>
      <w:r w:rsidR="0079771E">
        <w:rPr>
          <w:bCs/>
        </w:rPr>
        <w:t>output</w:t>
      </w:r>
      <w:proofErr w:type="gramEnd"/>
      <w:r w:rsidR="0079771E">
        <w:rPr>
          <w:bCs/>
        </w:rPr>
        <w:t xml:space="preserve"> and outcome. </w:t>
      </w:r>
      <w:r w:rsidR="008209BC">
        <w:rPr>
          <w:bCs/>
        </w:rPr>
        <w:t xml:space="preserve">Our TA teams meet with each SVRA once a month to review progress in each of the activity and output areas. The work plan acts as a helpful tool to keep </w:t>
      </w:r>
      <w:proofErr w:type="gramStart"/>
      <w:r w:rsidR="008209BC">
        <w:rPr>
          <w:bCs/>
        </w:rPr>
        <w:t>all of</w:t>
      </w:r>
      <w:proofErr w:type="gramEnd"/>
      <w:r w:rsidR="008209BC">
        <w:rPr>
          <w:bCs/>
        </w:rPr>
        <w:t xml:space="preserve"> the </w:t>
      </w:r>
      <w:r w:rsidR="009E7CB5">
        <w:rPr>
          <w:bCs/>
        </w:rPr>
        <w:t xml:space="preserve">stakeholders informed and on track to achieve the stated goals. </w:t>
      </w:r>
      <w:r w:rsidR="0079771E">
        <w:rPr>
          <w:bCs/>
        </w:rPr>
        <w:t xml:space="preserve">The work plans for each of the SVRAs </w:t>
      </w:r>
      <w:r w:rsidR="00FC5B51">
        <w:rPr>
          <w:bCs/>
        </w:rPr>
        <w:t xml:space="preserve">are </w:t>
      </w:r>
      <w:r w:rsidR="0079771E">
        <w:rPr>
          <w:bCs/>
        </w:rPr>
        <w:t xml:space="preserve">attached to this report. </w:t>
      </w:r>
      <w:r>
        <w:rPr>
          <w:bCs/>
        </w:rPr>
        <w:t xml:space="preserve">Each of the agreements </w:t>
      </w:r>
      <w:r w:rsidR="00FC5B51">
        <w:rPr>
          <w:bCs/>
        </w:rPr>
        <w:t>are</w:t>
      </w:r>
      <w:r>
        <w:rPr>
          <w:bCs/>
        </w:rPr>
        <w:t xml:space="preserve"> detailed below.</w:t>
      </w:r>
    </w:p>
    <w:p w14:paraId="0BD3AA3E" w14:textId="1B52E078" w:rsidR="00632228" w:rsidRDefault="00B2046A" w:rsidP="00B2046A">
      <w:pPr>
        <w:spacing w:before="240"/>
      </w:pPr>
      <w:r w:rsidRPr="00B2046A">
        <w:rPr>
          <w:b/>
          <w:u w:val="single"/>
        </w:rPr>
        <w:t>Kansas Combined</w:t>
      </w:r>
      <w:r>
        <w:t xml:space="preserve">: </w:t>
      </w:r>
    </w:p>
    <w:p w14:paraId="1CDBD2D4" w14:textId="59A436E9" w:rsidR="00585B6D" w:rsidRDefault="00B2046A" w:rsidP="00B2046A">
      <w:pPr>
        <w:spacing w:before="240"/>
      </w:pPr>
      <w:r>
        <w:t xml:space="preserve">The VRTAC-QM completed the </w:t>
      </w:r>
      <w:r w:rsidR="00B62EA1">
        <w:t xml:space="preserve">initial </w:t>
      </w:r>
      <w:r>
        <w:t xml:space="preserve">ITAA for Kansas Combined on March </w:t>
      </w:r>
      <w:r w:rsidR="00B62EA1">
        <w:t>26</w:t>
      </w:r>
      <w:r w:rsidR="00B62EA1" w:rsidRPr="00B62EA1">
        <w:rPr>
          <w:vertAlign w:val="superscript"/>
        </w:rPr>
        <w:t>th</w:t>
      </w:r>
      <w:r w:rsidR="00B62EA1">
        <w:t xml:space="preserve"> </w:t>
      </w:r>
      <w:r>
        <w:t xml:space="preserve">after their </w:t>
      </w:r>
      <w:r w:rsidR="00B62EA1">
        <w:t xml:space="preserve">SWOT and </w:t>
      </w:r>
      <w:r>
        <w:t>review</w:t>
      </w:r>
      <w:r w:rsidR="00B62EA1">
        <w:t xml:space="preserve"> of the draft</w:t>
      </w:r>
      <w:r>
        <w:t xml:space="preserve">. </w:t>
      </w:r>
      <w:r w:rsidR="00B62EA1">
        <w:t>When the SWOT was completed for Kansas, there was not an indication that pre-employment transition services was an area of need for TA or training. However, shortly after the ITAA was developed, Kansas began requesting intervention for the NTACT:C and us to address the programmatic and fiscal areas of</w:t>
      </w:r>
      <w:r w:rsidR="00603449">
        <w:t xml:space="preserve"> </w:t>
      </w:r>
      <w:r w:rsidR="00B62EA1">
        <w:t>pre-employment transition services that they were dealing with</w:t>
      </w:r>
      <w:r w:rsidR="00603449">
        <w:t>.</w:t>
      </w:r>
      <w:r>
        <w:t xml:space="preserve"> </w:t>
      </w:r>
      <w:r w:rsidR="00603449">
        <w:t xml:space="preserve">Consequently, we revised the ITAA to include multiple activities for the NTACT:C and added fiscal pre-ETS activities for us. The revised agreement was completed and signed by all parties on July 13, 2021. </w:t>
      </w:r>
      <w:r w:rsidR="00711549">
        <w:t xml:space="preserve">Table </w:t>
      </w:r>
      <w:r w:rsidR="00AD34AB">
        <w:t>4</w:t>
      </w:r>
      <w:r w:rsidR="00711549">
        <w:t xml:space="preserve"> contains a list of </w:t>
      </w:r>
      <w:proofErr w:type="gramStart"/>
      <w:r w:rsidR="00711549">
        <w:t>all of</w:t>
      </w:r>
      <w:proofErr w:type="gramEnd"/>
      <w:r w:rsidR="00711549">
        <w:t xml:space="preserve"> the activities and outputs for the Kansas ITAA, as well as the progress made in Year One in completing the activities and outputs. We will only be including this table as an example of how we track progress in the body of this report. The attached work plans contain all of this </w:t>
      </w:r>
      <w:proofErr w:type="gramStart"/>
      <w:r w:rsidR="00711549">
        <w:t>information</w:t>
      </w:r>
      <w:proofErr w:type="gramEnd"/>
      <w:r w:rsidR="00711549">
        <w:t xml:space="preserve"> and the program evaluation report will </w:t>
      </w:r>
      <w:r w:rsidR="0085098D">
        <w:t>provide</w:t>
      </w:r>
      <w:r w:rsidR="00711549">
        <w:t xml:space="preserve"> further</w:t>
      </w:r>
      <w:r w:rsidR="0085098D">
        <w:t xml:space="preserve"> detail.</w:t>
      </w:r>
    </w:p>
    <w:p w14:paraId="23774467" w14:textId="77777777" w:rsidR="00067F6C" w:rsidRDefault="00067F6C">
      <w:pPr>
        <w:spacing w:before="0" w:after="160"/>
        <w:rPr>
          <w:bCs/>
        </w:rPr>
      </w:pPr>
      <w:r>
        <w:rPr>
          <w:bCs/>
        </w:rPr>
        <w:br w:type="page"/>
      </w:r>
    </w:p>
    <w:p w14:paraId="1C9CEF7A" w14:textId="3D9F4DC5" w:rsidR="00585B6D" w:rsidRDefault="00585B6D" w:rsidP="00585B6D">
      <w:pPr>
        <w:pStyle w:val="Style1"/>
        <w:spacing w:before="0" w:after="0"/>
        <w:rPr>
          <w:bCs/>
        </w:rPr>
      </w:pPr>
      <w:r>
        <w:rPr>
          <w:bCs/>
        </w:rPr>
        <w:lastRenderedPageBreak/>
        <w:t xml:space="preserve">Table </w:t>
      </w:r>
      <w:r w:rsidR="00AD34AB">
        <w:rPr>
          <w:bCs/>
        </w:rPr>
        <w:t>4</w:t>
      </w:r>
    </w:p>
    <w:p w14:paraId="7E13CCA4" w14:textId="6567EAB7" w:rsidR="00585B6D" w:rsidRPr="00585B6D" w:rsidRDefault="00585B6D" w:rsidP="00585B6D">
      <w:pPr>
        <w:pStyle w:val="Style1"/>
        <w:spacing w:before="0" w:after="0"/>
        <w:rPr>
          <w:bCs/>
          <w:i/>
          <w:iCs/>
        </w:rPr>
      </w:pPr>
      <w:r w:rsidRPr="00585B6D">
        <w:rPr>
          <w:bCs/>
          <w:i/>
          <w:iCs/>
        </w:rPr>
        <w:t>Kansas ITAA Activities, Outputs and Progress</w:t>
      </w:r>
    </w:p>
    <w:tbl>
      <w:tblPr>
        <w:tblW w:w="10120" w:type="dxa"/>
        <w:tblLook w:val="04A0" w:firstRow="1" w:lastRow="0" w:firstColumn="1" w:lastColumn="0" w:noHBand="0" w:noVBand="1"/>
      </w:tblPr>
      <w:tblGrid>
        <w:gridCol w:w="3800"/>
        <w:gridCol w:w="1280"/>
        <w:gridCol w:w="3600"/>
        <w:gridCol w:w="1440"/>
      </w:tblGrid>
      <w:tr w:rsidR="00585B6D" w:rsidRPr="00585B6D" w14:paraId="3991BA11" w14:textId="77777777" w:rsidTr="00585B6D">
        <w:trPr>
          <w:trHeight w:val="600"/>
          <w:tblHeader/>
        </w:trPr>
        <w:tc>
          <w:tcPr>
            <w:tcW w:w="380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CF2D221" w14:textId="77777777" w:rsidR="00585B6D" w:rsidRPr="00585B6D" w:rsidRDefault="00585B6D" w:rsidP="00585B6D">
            <w:pPr>
              <w:spacing w:after="0" w:line="240" w:lineRule="auto"/>
              <w:jc w:val="center"/>
              <w:rPr>
                <w:rFonts w:eastAsia="Times New Roman"/>
                <w:b/>
                <w:bCs/>
                <w:color w:val="000000"/>
              </w:rPr>
            </w:pPr>
            <w:r w:rsidRPr="00585B6D">
              <w:rPr>
                <w:rFonts w:eastAsia="Times New Roman"/>
                <w:b/>
                <w:bCs/>
                <w:color w:val="000000"/>
              </w:rPr>
              <w:t>Activity</w:t>
            </w:r>
          </w:p>
        </w:tc>
        <w:tc>
          <w:tcPr>
            <w:tcW w:w="1280" w:type="dxa"/>
            <w:tcBorders>
              <w:top w:val="single" w:sz="4" w:space="0" w:color="auto"/>
              <w:left w:val="nil"/>
              <w:bottom w:val="single" w:sz="4" w:space="0" w:color="auto"/>
              <w:right w:val="single" w:sz="4" w:space="0" w:color="auto"/>
            </w:tcBorders>
            <w:shd w:val="clear" w:color="000000" w:fill="FCE4D6"/>
            <w:vAlign w:val="center"/>
            <w:hideMark/>
          </w:tcPr>
          <w:p w14:paraId="5A73F8C1" w14:textId="77777777" w:rsidR="00585B6D" w:rsidRPr="00585B6D" w:rsidRDefault="00585B6D" w:rsidP="00585B6D">
            <w:pPr>
              <w:spacing w:after="0" w:line="240" w:lineRule="auto"/>
              <w:jc w:val="center"/>
              <w:rPr>
                <w:rFonts w:eastAsia="Times New Roman"/>
                <w:b/>
                <w:bCs/>
                <w:color w:val="000000"/>
              </w:rPr>
            </w:pPr>
            <w:r w:rsidRPr="00585B6D">
              <w:rPr>
                <w:rFonts w:eastAsia="Times New Roman"/>
                <w:b/>
                <w:bCs/>
                <w:color w:val="000000"/>
              </w:rPr>
              <w:t>Percent Complete</w:t>
            </w:r>
          </w:p>
        </w:tc>
        <w:tc>
          <w:tcPr>
            <w:tcW w:w="3600" w:type="dxa"/>
            <w:tcBorders>
              <w:top w:val="single" w:sz="4" w:space="0" w:color="auto"/>
              <w:left w:val="nil"/>
              <w:bottom w:val="single" w:sz="4" w:space="0" w:color="auto"/>
              <w:right w:val="single" w:sz="4" w:space="0" w:color="auto"/>
            </w:tcBorders>
            <w:shd w:val="clear" w:color="000000" w:fill="FCE4D6"/>
            <w:vAlign w:val="center"/>
            <w:hideMark/>
          </w:tcPr>
          <w:p w14:paraId="2E1AE9DE" w14:textId="77777777" w:rsidR="00585B6D" w:rsidRPr="00585B6D" w:rsidRDefault="00585B6D" w:rsidP="00585B6D">
            <w:pPr>
              <w:spacing w:after="0" w:line="240" w:lineRule="auto"/>
              <w:jc w:val="center"/>
              <w:rPr>
                <w:rFonts w:eastAsia="Times New Roman"/>
                <w:b/>
                <w:bCs/>
                <w:color w:val="000000"/>
              </w:rPr>
            </w:pPr>
            <w:r w:rsidRPr="00585B6D">
              <w:rPr>
                <w:rFonts w:eastAsia="Times New Roman"/>
                <w:b/>
                <w:bCs/>
                <w:color w:val="000000"/>
              </w:rPr>
              <w:t>Output</w:t>
            </w:r>
          </w:p>
        </w:tc>
        <w:tc>
          <w:tcPr>
            <w:tcW w:w="1440" w:type="dxa"/>
            <w:tcBorders>
              <w:top w:val="single" w:sz="4" w:space="0" w:color="auto"/>
              <w:left w:val="nil"/>
              <w:bottom w:val="single" w:sz="4" w:space="0" w:color="auto"/>
              <w:right w:val="single" w:sz="4" w:space="0" w:color="auto"/>
            </w:tcBorders>
            <w:shd w:val="clear" w:color="000000" w:fill="FCE4D6"/>
            <w:vAlign w:val="center"/>
            <w:hideMark/>
          </w:tcPr>
          <w:p w14:paraId="598AB6C0" w14:textId="77777777" w:rsidR="00585B6D" w:rsidRPr="00585B6D" w:rsidRDefault="00585B6D" w:rsidP="00585B6D">
            <w:pPr>
              <w:spacing w:after="0" w:line="240" w:lineRule="auto"/>
              <w:jc w:val="center"/>
              <w:rPr>
                <w:rFonts w:eastAsia="Times New Roman"/>
                <w:b/>
                <w:bCs/>
                <w:color w:val="000000"/>
              </w:rPr>
            </w:pPr>
            <w:r w:rsidRPr="00585B6D">
              <w:rPr>
                <w:rFonts w:eastAsia="Times New Roman"/>
                <w:b/>
                <w:bCs/>
                <w:color w:val="000000"/>
              </w:rPr>
              <w:t>Percent Complete</w:t>
            </w:r>
          </w:p>
        </w:tc>
      </w:tr>
      <w:tr w:rsidR="00585B6D" w:rsidRPr="00585B6D" w14:paraId="195F1533" w14:textId="77777777" w:rsidTr="00585B6D">
        <w:trPr>
          <w:trHeight w:val="124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69C019C"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Conduct a staff training needs assessment</w:t>
            </w:r>
          </w:p>
        </w:tc>
        <w:tc>
          <w:tcPr>
            <w:tcW w:w="1280" w:type="dxa"/>
            <w:tcBorders>
              <w:top w:val="nil"/>
              <w:left w:val="nil"/>
              <w:bottom w:val="single" w:sz="4" w:space="0" w:color="auto"/>
              <w:right w:val="single" w:sz="4" w:space="0" w:color="auto"/>
            </w:tcBorders>
            <w:shd w:val="clear" w:color="auto" w:fill="auto"/>
            <w:vAlign w:val="center"/>
            <w:hideMark/>
          </w:tcPr>
          <w:p w14:paraId="49F67292"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100%</w:t>
            </w:r>
          </w:p>
        </w:tc>
        <w:tc>
          <w:tcPr>
            <w:tcW w:w="3600" w:type="dxa"/>
            <w:tcBorders>
              <w:top w:val="nil"/>
              <w:left w:val="nil"/>
              <w:bottom w:val="single" w:sz="4" w:space="0" w:color="auto"/>
              <w:right w:val="single" w:sz="4" w:space="0" w:color="auto"/>
            </w:tcBorders>
            <w:shd w:val="clear" w:color="auto" w:fill="auto"/>
            <w:vAlign w:val="center"/>
            <w:hideMark/>
          </w:tcPr>
          <w:p w14:paraId="0E962E06"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needs assessment report with staff training needs identified for different job classifications</w:t>
            </w:r>
          </w:p>
        </w:tc>
        <w:tc>
          <w:tcPr>
            <w:tcW w:w="1440" w:type="dxa"/>
            <w:tcBorders>
              <w:top w:val="nil"/>
              <w:left w:val="nil"/>
              <w:bottom w:val="single" w:sz="4" w:space="0" w:color="auto"/>
              <w:right w:val="single" w:sz="4" w:space="0" w:color="auto"/>
            </w:tcBorders>
            <w:shd w:val="clear" w:color="auto" w:fill="auto"/>
            <w:vAlign w:val="center"/>
            <w:hideMark/>
          </w:tcPr>
          <w:p w14:paraId="32704DA2"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100%</w:t>
            </w:r>
          </w:p>
        </w:tc>
      </w:tr>
      <w:tr w:rsidR="00585B6D" w:rsidRPr="00585B6D" w14:paraId="0EE17560" w14:textId="77777777" w:rsidTr="00585B6D">
        <w:trPr>
          <w:trHeight w:val="93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FBCF4BB"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Conduct staff training on eligibility determinations and other areas as requested by KRS</w:t>
            </w:r>
          </w:p>
        </w:tc>
        <w:tc>
          <w:tcPr>
            <w:tcW w:w="1280" w:type="dxa"/>
            <w:tcBorders>
              <w:top w:val="nil"/>
              <w:left w:val="nil"/>
              <w:bottom w:val="single" w:sz="4" w:space="0" w:color="auto"/>
              <w:right w:val="single" w:sz="4" w:space="0" w:color="auto"/>
            </w:tcBorders>
            <w:shd w:val="clear" w:color="auto" w:fill="auto"/>
            <w:vAlign w:val="center"/>
            <w:hideMark/>
          </w:tcPr>
          <w:p w14:paraId="3F059468"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c>
          <w:tcPr>
            <w:tcW w:w="3600" w:type="dxa"/>
            <w:tcBorders>
              <w:top w:val="nil"/>
              <w:left w:val="nil"/>
              <w:bottom w:val="single" w:sz="4" w:space="0" w:color="auto"/>
              <w:right w:val="single" w:sz="4" w:space="0" w:color="auto"/>
            </w:tcBorders>
            <w:shd w:val="clear" w:color="auto" w:fill="auto"/>
            <w:vAlign w:val="center"/>
            <w:hideMark/>
          </w:tcPr>
          <w:p w14:paraId="541B37F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Number of staff that complete training for each of the identified topic areas</w:t>
            </w:r>
          </w:p>
        </w:tc>
        <w:tc>
          <w:tcPr>
            <w:tcW w:w="1440" w:type="dxa"/>
            <w:tcBorders>
              <w:top w:val="nil"/>
              <w:left w:val="nil"/>
              <w:bottom w:val="single" w:sz="4" w:space="0" w:color="auto"/>
              <w:right w:val="single" w:sz="4" w:space="0" w:color="auto"/>
            </w:tcBorders>
            <w:shd w:val="clear" w:color="auto" w:fill="auto"/>
            <w:vAlign w:val="center"/>
            <w:hideMark/>
          </w:tcPr>
          <w:p w14:paraId="333EE4EF"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r>
      <w:tr w:rsidR="00585B6D" w:rsidRPr="00585B6D" w14:paraId="5B6D11E1" w14:textId="77777777" w:rsidTr="00585B6D">
        <w:trPr>
          <w:trHeight w:val="124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A60A176"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Review, revise and/or develop policies and procedures related to case processing and service delivery</w:t>
            </w:r>
          </w:p>
        </w:tc>
        <w:tc>
          <w:tcPr>
            <w:tcW w:w="1280" w:type="dxa"/>
            <w:tcBorders>
              <w:top w:val="nil"/>
              <w:left w:val="nil"/>
              <w:bottom w:val="single" w:sz="4" w:space="0" w:color="auto"/>
              <w:right w:val="single" w:sz="4" w:space="0" w:color="auto"/>
            </w:tcBorders>
            <w:shd w:val="clear" w:color="auto" w:fill="auto"/>
            <w:vAlign w:val="center"/>
            <w:hideMark/>
          </w:tcPr>
          <w:p w14:paraId="681F37E8"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c>
          <w:tcPr>
            <w:tcW w:w="3600" w:type="dxa"/>
            <w:tcBorders>
              <w:top w:val="nil"/>
              <w:left w:val="nil"/>
              <w:bottom w:val="single" w:sz="4" w:space="0" w:color="auto"/>
              <w:right w:val="single" w:sz="4" w:space="0" w:color="auto"/>
            </w:tcBorders>
            <w:shd w:val="clear" w:color="auto" w:fill="auto"/>
            <w:vAlign w:val="center"/>
            <w:hideMark/>
          </w:tcPr>
          <w:p w14:paraId="10B0ABDB"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review and draft/revisions of policies and procedure with recommendations in identified areas</w:t>
            </w:r>
          </w:p>
        </w:tc>
        <w:tc>
          <w:tcPr>
            <w:tcW w:w="1440" w:type="dxa"/>
            <w:tcBorders>
              <w:top w:val="nil"/>
              <w:left w:val="nil"/>
              <w:bottom w:val="single" w:sz="4" w:space="0" w:color="auto"/>
              <w:right w:val="single" w:sz="4" w:space="0" w:color="auto"/>
            </w:tcBorders>
            <w:shd w:val="clear" w:color="auto" w:fill="auto"/>
            <w:vAlign w:val="center"/>
            <w:hideMark/>
          </w:tcPr>
          <w:p w14:paraId="64BDAB9A"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0EEEA506" w14:textId="77777777" w:rsidTr="00585B6D">
        <w:trPr>
          <w:trHeight w:val="93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253C3E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Review and revise/develop internal controls related to case processing and service delivery as needed</w:t>
            </w:r>
          </w:p>
        </w:tc>
        <w:tc>
          <w:tcPr>
            <w:tcW w:w="1280" w:type="dxa"/>
            <w:tcBorders>
              <w:top w:val="nil"/>
              <w:left w:val="nil"/>
              <w:bottom w:val="single" w:sz="4" w:space="0" w:color="auto"/>
              <w:right w:val="single" w:sz="4" w:space="0" w:color="auto"/>
            </w:tcBorders>
            <w:shd w:val="clear" w:color="auto" w:fill="auto"/>
            <w:vAlign w:val="center"/>
            <w:hideMark/>
          </w:tcPr>
          <w:p w14:paraId="628F1C41"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c>
          <w:tcPr>
            <w:tcW w:w="3600" w:type="dxa"/>
            <w:tcBorders>
              <w:top w:val="nil"/>
              <w:left w:val="nil"/>
              <w:bottom w:val="single" w:sz="4" w:space="0" w:color="auto"/>
              <w:right w:val="single" w:sz="4" w:space="0" w:color="auto"/>
            </w:tcBorders>
            <w:shd w:val="clear" w:color="auto" w:fill="auto"/>
            <w:vAlign w:val="center"/>
            <w:hideMark/>
          </w:tcPr>
          <w:p w14:paraId="273BD151"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 xml:space="preserve">Completed review and draft/revisions of internal controls </w:t>
            </w:r>
          </w:p>
        </w:tc>
        <w:tc>
          <w:tcPr>
            <w:tcW w:w="1440" w:type="dxa"/>
            <w:tcBorders>
              <w:top w:val="nil"/>
              <w:left w:val="nil"/>
              <w:bottom w:val="single" w:sz="4" w:space="0" w:color="auto"/>
              <w:right w:val="single" w:sz="4" w:space="0" w:color="auto"/>
            </w:tcBorders>
            <w:shd w:val="clear" w:color="auto" w:fill="auto"/>
            <w:vAlign w:val="center"/>
            <w:hideMark/>
          </w:tcPr>
          <w:p w14:paraId="3CD9E9E4"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17A7B1E1" w14:textId="77777777" w:rsidTr="00585B6D">
        <w:trPr>
          <w:trHeight w:val="155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43D9ECF"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Review, develop and/or revise, as needed, performance evaluation standards for VR Counselors (and other staff as needed) reflecting agency and WIOA standards</w:t>
            </w:r>
          </w:p>
        </w:tc>
        <w:tc>
          <w:tcPr>
            <w:tcW w:w="1280" w:type="dxa"/>
            <w:tcBorders>
              <w:top w:val="nil"/>
              <w:left w:val="nil"/>
              <w:bottom w:val="single" w:sz="4" w:space="0" w:color="auto"/>
              <w:right w:val="single" w:sz="4" w:space="0" w:color="auto"/>
            </w:tcBorders>
            <w:shd w:val="clear" w:color="auto" w:fill="auto"/>
            <w:vAlign w:val="center"/>
            <w:hideMark/>
          </w:tcPr>
          <w:p w14:paraId="7B025DE9"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75%</w:t>
            </w:r>
          </w:p>
        </w:tc>
        <w:tc>
          <w:tcPr>
            <w:tcW w:w="3600" w:type="dxa"/>
            <w:tcBorders>
              <w:top w:val="nil"/>
              <w:left w:val="nil"/>
              <w:bottom w:val="single" w:sz="4" w:space="0" w:color="auto"/>
              <w:right w:val="single" w:sz="4" w:space="0" w:color="auto"/>
            </w:tcBorders>
            <w:shd w:val="clear" w:color="auto" w:fill="auto"/>
            <w:vAlign w:val="center"/>
            <w:hideMark/>
          </w:tcPr>
          <w:p w14:paraId="24D9B772"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draft/revised performance evaluation standards recommendations</w:t>
            </w:r>
          </w:p>
        </w:tc>
        <w:tc>
          <w:tcPr>
            <w:tcW w:w="1440" w:type="dxa"/>
            <w:tcBorders>
              <w:top w:val="nil"/>
              <w:left w:val="nil"/>
              <w:bottom w:val="single" w:sz="4" w:space="0" w:color="auto"/>
              <w:right w:val="single" w:sz="4" w:space="0" w:color="auto"/>
            </w:tcBorders>
            <w:shd w:val="clear" w:color="auto" w:fill="auto"/>
            <w:vAlign w:val="center"/>
            <w:hideMark/>
          </w:tcPr>
          <w:p w14:paraId="4F5F575F"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r>
      <w:tr w:rsidR="00585B6D" w:rsidRPr="00585B6D" w14:paraId="49D111AB" w14:textId="77777777" w:rsidTr="00585B6D">
        <w:trPr>
          <w:trHeight w:val="217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75FBA7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Analyze VR agency readiness and capacity to track and report data for (i.e., RSA-911 and supporting documentation) the WIOA Performance Indicators</w:t>
            </w:r>
          </w:p>
        </w:tc>
        <w:tc>
          <w:tcPr>
            <w:tcW w:w="1280" w:type="dxa"/>
            <w:tcBorders>
              <w:top w:val="nil"/>
              <w:left w:val="nil"/>
              <w:bottom w:val="single" w:sz="4" w:space="0" w:color="auto"/>
              <w:right w:val="single" w:sz="4" w:space="0" w:color="auto"/>
            </w:tcBorders>
            <w:shd w:val="clear" w:color="auto" w:fill="auto"/>
            <w:vAlign w:val="center"/>
            <w:hideMark/>
          </w:tcPr>
          <w:p w14:paraId="4E8123C6"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75%</w:t>
            </w:r>
          </w:p>
        </w:tc>
        <w:tc>
          <w:tcPr>
            <w:tcW w:w="3600" w:type="dxa"/>
            <w:tcBorders>
              <w:top w:val="nil"/>
              <w:left w:val="nil"/>
              <w:bottom w:val="single" w:sz="4" w:space="0" w:color="auto"/>
              <w:right w:val="single" w:sz="4" w:space="0" w:color="auto"/>
            </w:tcBorders>
            <w:shd w:val="clear" w:color="auto" w:fill="auto"/>
            <w:vAlign w:val="center"/>
            <w:hideMark/>
          </w:tcPr>
          <w:p w14:paraId="4B4633C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assessment with identified implementation strategies and timelines necessary to accurately track and report the RSA-911 and supporting documentation data for the WIOA Performance Indicators</w:t>
            </w:r>
          </w:p>
        </w:tc>
        <w:tc>
          <w:tcPr>
            <w:tcW w:w="1440" w:type="dxa"/>
            <w:tcBorders>
              <w:top w:val="nil"/>
              <w:left w:val="nil"/>
              <w:bottom w:val="single" w:sz="4" w:space="0" w:color="auto"/>
              <w:right w:val="single" w:sz="4" w:space="0" w:color="auto"/>
            </w:tcBorders>
            <w:shd w:val="clear" w:color="auto" w:fill="auto"/>
            <w:vAlign w:val="center"/>
            <w:hideMark/>
          </w:tcPr>
          <w:p w14:paraId="5F3D32C1"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75%</w:t>
            </w:r>
          </w:p>
        </w:tc>
      </w:tr>
      <w:tr w:rsidR="00585B6D" w:rsidRPr="00585B6D" w14:paraId="61E14FAF" w14:textId="77777777" w:rsidTr="00585B6D">
        <w:trPr>
          <w:trHeight w:val="124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49FBB1D"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Review, develop and/or revise, as needed, written internal controls necessary for the WIOA Performance Accountability System</w:t>
            </w:r>
          </w:p>
        </w:tc>
        <w:tc>
          <w:tcPr>
            <w:tcW w:w="1280" w:type="dxa"/>
            <w:tcBorders>
              <w:top w:val="nil"/>
              <w:left w:val="nil"/>
              <w:bottom w:val="single" w:sz="4" w:space="0" w:color="auto"/>
              <w:right w:val="single" w:sz="4" w:space="0" w:color="auto"/>
            </w:tcBorders>
            <w:shd w:val="clear" w:color="auto" w:fill="auto"/>
            <w:vAlign w:val="center"/>
            <w:hideMark/>
          </w:tcPr>
          <w:p w14:paraId="2EDA3A40"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25%</w:t>
            </w:r>
          </w:p>
        </w:tc>
        <w:tc>
          <w:tcPr>
            <w:tcW w:w="3600" w:type="dxa"/>
            <w:tcBorders>
              <w:top w:val="nil"/>
              <w:left w:val="nil"/>
              <w:bottom w:val="single" w:sz="4" w:space="0" w:color="auto"/>
              <w:right w:val="single" w:sz="4" w:space="0" w:color="auto"/>
            </w:tcBorders>
            <w:shd w:val="clear" w:color="auto" w:fill="auto"/>
            <w:vAlign w:val="center"/>
            <w:hideMark/>
          </w:tcPr>
          <w:p w14:paraId="04F986B1"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draft/revised internal controls and written procedures recommendations</w:t>
            </w:r>
          </w:p>
        </w:tc>
        <w:tc>
          <w:tcPr>
            <w:tcW w:w="1440" w:type="dxa"/>
            <w:tcBorders>
              <w:top w:val="nil"/>
              <w:left w:val="nil"/>
              <w:bottom w:val="single" w:sz="4" w:space="0" w:color="auto"/>
              <w:right w:val="single" w:sz="4" w:space="0" w:color="auto"/>
            </w:tcBorders>
            <w:shd w:val="clear" w:color="auto" w:fill="auto"/>
            <w:vAlign w:val="center"/>
            <w:hideMark/>
          </w:tcPr>
          <w:p w14:paraId="73B0D4D1"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15ED4AF9" w14:textId="77777777" w:rsidTr="00585B6D">
        <w:trPr>
          <w:trHeight w:val="186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BBACCDC"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Assist VR agency in developing strategies for data analysis and data-informed decision-making (visual analytics – Tableau, tracking reports, etc.) for meeting or exceeding WIOA performance established targets</w:t>
            </w:r>
          </w:p>
        </w:tc>
        <w:tc>
          <w:tcPr>
            <w:tcW w:w="1280" w:type="dxa"/>
            <w:tcBorders>
              <w:top w:val="nil"/>
              <w:left w:val="nil"/>
              <w:bottom w:val="single" w:sz="4" w:space="0" w:color="auto"/>
              <w:right w:val="single" w:sz="4" w:space="0" w:color="auto"/>
            </w:tcBorders>
            <w:shd w:val="clear" w:color="auto" w:fill="auto"/>
            <w:vAlign w:val="center"/>
            <w:hideMark/>
          </w:tcPr>
          <w:p w14:paraId="6851D70E"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25%</w:t>
            </w:r>
          </w:p>
        </w:tc>
        <w:tc>
          <w:tcPr>
            <w:tcW w:w="3600" w:type="dxa"/>
            <w:tcBorders>
              <w:top w:val="nil"/>
              <w:left w:val="nil"/>
              <w:bottom w:val="single" w:sz="4" w:space="0" w:color="auto"/>
              <w:right w:val="single" w:sz="4" w:space="0" w:color="auto"/>
            </w:tcBorders>
            <w:shd w:val="clear" w:color="auto" w:fill="auto"/>
            <w:vAlign w:val="center"/>
            <w:hideMark/>
          </w:tcPr>
          <w:p w14:paraId="26B42AB3"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draft/revised strategies including data analysis and data-informed decision-making recommendations</w:t>
            </w:r>
          </w:p>
        </w:tc>
        <w:tc>
          <w:tcPr>
            <w:tcW w:w="1440" w:type="dxa"/>
            <w:tcBorders>
              <w:top w:val="nil"/>
              <w:left w:val="nil"/>
              <w:bottom w:val="single" w:sz="4" w:space="0" w:color="auto"/>
              <w:right w:val="single" w:sz="4" w:space="0" w:color="auto"/>
            </w:tcBorders>
            <w:shd w:val="clear" w:color="auto" w:fill="auto"/>
            <w:vAlign w:val="center"/>
            <w:hideMark/>
          </w:tcPr>
          <w:p w14:paraId="68D6DD1B"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1A04D752" w14:textId="77777777" w:rsidTr="00585B6D">
        <w:trPr>
          <w:trHeight w:val="155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B61F71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lastRenderedPageBreak/>
              <w:t>Assist agency to establish a method and policy for rate-setting and evaluating the performance of service providers</w:t>
            </w:r>
          </w:p>
        </w:tc>
        <w:tc>
          <w:tcPr>
            <w:tcW w:w="1280" w:type="dxa"/>
            <w:tcBorders>
              <w:top w:val="nil"/>
              <w:left w:val="nil"/>
              <w:bottom w:val="single" w:sz="4" w:space="0" w:color="auto"/>
              <w:right w:val="single" w:sz="4" w:space="0" w:color="auto"/>
            </w:tcBorders>
            <w:shd w:val="clear" w:color="auto" w:fill="auto"/>
            <w:vAlign w:val="center"/>
            <w:hideMark/>
          </w:tcPr>
          <w:p w14:paraId="085115E2"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0%</w:t>
            </w:r>
          </w:p>
        </w:tc>
        <w:tc>
          <w:tcPr>
            <w:tcW w:w="3600" w:type="dxa"/>
            <w:tcBorders>
              <w:top w:val="nil"/>
              <w:left w:val="nil"/>
              <w:bottom w:val="single" w:sz="4" w:space="0" w:color="auto"/>
              <w:right w:val="single" w:sz="4" w:space="0" w:color="auto"/>
            </w:tcBorders>
            <w:shd w:val="clear" w:color="auto" w:fill="auto"/>
            <w:vAlign w:val="center"/>
            <w:hideMark/>
          </w:tcPr>
          <w:p w14:paraId="29C1417D"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 xml:space="preserve">Completed draft/revised policies for rate setting and recommendations for evaluating </w:t>
            </w:r>
            <w:proofErr w:type="gramStart"/>
            <w:r w:rsidRPr="00585B6D">
              <w:rPr>
                <w:rFonts w:eastAsia="Times New Roman"/>
                <w:color w:val="000000"/>
              </w:rPr>
              <w:t>the  performance</w:t>
            </w:r>
            <w:proofErr w:type="gramEnd"/>
            <w:r w:rsidRPr="00585B6D">
              <w:rPr>
                <w:rFonts w:eastAsia="Times New Roman"/>
                <w:color w:val="000000"/>
              </w:rPr>
              <w:t xml:space="preserve"> of service providers</w:t>
            </w:r>
          </w:p>
        </w:tc>
        <w:tc>
          <w:tcPr>
            <w:tcW w:w="1440" w:type="dxa"/>
            <w:tcBorders>
              <w:top w:val="nil"/>
              <w:left w:val="nil"/>
              <w:bottom w:val="single" w:sz="4" w:space="0" w:color="auto"/>
              <w:right w:val="single" w:sz="4" w:space="0" w:color="auto"/>
            </w:tcBorders>
            <w:shd w:val="clear" w:color="auto" w:fill="auto"/>
            <w:vAlign w:val="center"/>
            <w:hideMark/>
          </w:tcPr>
          <w:p w14:paraId="75FA2FB3"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0%</w:t>
            </w:r>
          </w:p>
        </w:tc>
      </w:tr>
      <w:tr w:rsidR="00585B6D" w:rsidRPr="00585B6D" w14:paraId="3C946B3F" w14:textId="77777777" w:rsidTr="00585B6D">
        <w:trPr>
          <w:trHeight w:val="310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6C530D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Assist VR agency in reviewing/revising the State Interagency Agreement (MOU) to incorporate required components consistent with applicable Federal Regulations under IDEA and The Rehabilitation Act, as amended by WIOA; and connect with Kansas Dept of Education (KSDE) for implementation of this agreement</w:t>
            </w:r>
          </w:p>
        </w:tc>
        <w:tc>
          <w:tcPr>
            <w:tcW w:w="1280" w:type="dxa"/>
            <w:tcBorders>
              <w:top w:val="nil"/>
              <w:left w:val="nil"/>
              <w:bottom w:val="single" w:sz="4" w:space="0" w:color="auto"/>
              <w:right w:val="single" w:sz="4" w:space="0" w:color="auto"/>
            </w:tcBorders>
            <w:shd w:val="clear" w:color="auto" w:fill="auto"/>
            <w:vAlign w:val="center"/>
            <w:hideMark/>
          </w:tcPr>
          <w:p w14:paraId="15EF8FF5"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c>
          <w:tcPr>
            <w:tcW w:w="3600" w:type="dxa"/>
            <w:tcBorders>
              <w:top w:val="nil"/>
              <w:left w:val="nil"/>
              <w:bottom w:val="single" w:sz="4" w:space="0" w:color="auto"/>
              <w:right w:val="single" w:sz="4" w:space="0" w:color="auto"/>
            </w:tcBorders>
            <w:shd w:val="clear" w:color="auto" w:fill="auto"/>
            <w:vAlign w:val="center"/>
            <w:hideMark/>
          </w:tcPr>
          <w:p w14:paraId="22727A67"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State Interagency Agreement (MOU)</w:t>
            </w:r>
          </w:p>
        </w:tc>
        <w:tc>
          <w:tcPr>
            <w:tcW w:w="1440" w:type="dxa"/>
            <w:tcBorders>
              <w:top w:val="nil"/>
              <w:left w:val="nil"/>
              <w:bottom w:val="single" w:sz="4" w:space="0" w:color="auto"/>
              <w:right w:val="single" w:sz="4" w:space="0" w:color="auto"/>
            </w:tcBorders>
            <w:shd w:val="clear" w:color="auto" w:fill="auto"/>
            <w:vAlign w:val="center"/>
            <w:hideMark/>
          </w:tcPr>
          <w:p w14:paraId="1CCE9770"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r>
      <w:tr w:rsidR="00585B6D" w:rsidRPr="00585B6D" w14:paraId="164D89D1" w14:textId="77777777" w:rsidTr="00585B6D">
        <w:trPr>
          <w:trHeight w:val="155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4E31546"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Assist VR Agency, in partnership with KSDE, in developing a Partnership Planning Guide to support local level implementation of the State Interagency Agreement</w:t>
            </w:r>
          </w:p>
        </w:tc>
        <w:tc>
          <w:tcPr>
            <w:tcW w:w="1280" w:type="dxa"/>
            <w:tcBorders>
              <w:top w:val="nil"/>
              <w:left w:val="nil"/>
              <w:bottom w:val="single" w:sz="4" w:space="0" w:color="auto"/>
              <w:right w:val="single" w:sz="4" w:space="0" w:color="auto"/>
            </w:tcBorders>
            <w:shd w:val="clear" w:color="auto" w:fill="auto"/>
            <w:vAlign w:val="center"/>
            <w:hideMark/>
          </w:tcPr>
          <w:p w14:paraId="36B3D98D"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25%</w:t>
            </w:r>
          </w:p>
        </w:tc>
        <w:tc>
          <w:tcPr>
            <w:tcW w:w="3600" w:type="dxa"/>
            <w:tcBorders>
              <w:top w:val="nil"/>
              <w:left w:val="nil"/>
              <w:bottom w:val="single" w:sz="4" w:space="0" w:color="auto"/>
              <w:right w:val="single" w:sz="4" w:space="0" w:color="auto"/>
            </w:tcBorders>
            <w:shd w:val="clear" w:color="auto" w:fill="auto"/>
            <w:vAlign w:val="center"/>
            <w:hideMark/>
          </w:tcPr>
          <w:p w14:paraId="2CADB5C3"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Completed/finalized local level guide</w:t>
            </w:r>
          </w:p>
        </w:tc>
        <w:tc>
          <w:tcPr>
            <w:tcW w:w="1440" w:type="dxa"/>
            <w:tcBorders>
              <w:top w:val="nil"/>
              <w:left w:val="nil"/>
              <w:bottom w:val="single" w:sz="4" w:space="0" w:color="auto"/>
              <w:right w:val="single" w:sz="4" w:space="0" w:color="auto"/>
            </w:tcBorders>
            <w:shd w:val="clear" w:color="auto" w:fill="auto"/>
            <w:vAlign w:val="center"/>
            <w:hideMark/>
          </w:tcPr>
          <w:p w14:paraId="1F22D4E1"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54EBF694" w14:textId="77777777" w:rsidTr="00585B6D">
        <w:trPr>
          <w:trHeight w:val="186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7ACD4BE"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Assist VR agency in implementing the flexibilities from the NOI.</w:t>
            </w:r>
          </w:p>
        </w:tc>
        <w:tc>
          <w:tcPr>
            <w:tcW w:w="1280" w:type="dxa"/>
            <w:tcBorders>
              <w:top w:val="nil"/>
              <w:left w:val="nil"/>
              <w:bottom w:val="single" w:sz="4" w:space="0" w:color="auto"/>
              <w:right w:val="single" w:sz="4" w:space="0" w:color="auto"/>
            </w:tcBorders>
            <w:shd w:val="clear" w:color="auto" w:fill="auto"/>
            <w:vAlign w:val="center"/>
            <w:hideMark/>
          </w:tcPr>
          <w:p w14:paraId="7C6A513D"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50%</w:t>
            </w:r>
          </w:p>
        </w:tc>
        <w:tc>
          <w:tcPr>
            <w:tcW w:w="3600" w:type="dxa"/>
            <w:tcBorders>
              <w:top w:val="nil"/>
              <w:left w:val="nil"/>
              <w:bottom w:val="single" w:sz="4" w:space="0" w:color="auto"/>
              <w:right w:val="single" w:sz="4" w:space="0" w:color="auto"/>
            </w:tcBorders>
            <w:shd w:val="clear" w:color="auto" w:fill="auto"/>
            <w:vAlign w:val="center"/>
            <w:hideMark/>
          </w:tcPr>
          <w:p w14:paraId="15BB97A9"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Policies, procedures, and/or written processes and guidance inclusive of the additional services that can be charged to the reserve, tracked in the RSA-911, and costs reflected on the RSA-17</w:t>
            </w:r>
          </w:p>
        </w:tc>
        <w:tc>
          <w:tcPr>
            <w:tcW w:w="1440" w:type="dxa"/>
            <w:tcBorders>
              <w:top w:val="nil"/>
              <w:left w:val="nil"/>
              <w:bottom w:val="single" w:sz="4" w:space="0" w:color="auto"/>
              <w:right w:val="single" w:sz="4" w:space="0" w:color="auto"/>
            </w:tcBorders>
            <w:shd w:val="clear" w:color="auto" w:fill="auto"/>
            <w:vAlign w:val="center"/>
            <w:hideMark/>
          </w:tcPr>
          <w:p w14:paraId="58B5E3AB"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25%</w:t>
            </w:r>
          </w:p>
        </w:tc>
      </w:tr>
      <w:tr w:rsidR="00585B6D" w:rsidRPr="00585B6D" w14:paraId="33E84AE1" w14:textId="77777777" w:rsidTr="00585B6D">
        <w:trPr>
          <w:trHeight w:val="217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B5F7556"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Analyze VR agency’s ability to accurately track and report VR requirements for students with disabilities and pre-employment transition services</w:t>
            </w:r>
          </w:p>
        </w:tc>
        <w:tc>
          <w:tcPr>
            <w:tcW w:w="1280" w:type="dxa"/>
            <w:tcBorders>
              <w:top w:val="nil"/>
              <w:left w:val="nil"/>
              <w:bottom w:val="single" w:sz="4" w:space="0" w:color="auto"/>
              <w:right w:val="single" w:sz="4" w:space="0" w:color="auto"/>
            </w:tcBorders>
            <w:shd w:val="clear" w:color="auto" w:fill="auto"/>
            <w:vAlign w:val="center"/>
            <w:hideMark/>
          </w:tcPr>
          <w:p w14:paraId="182561D3"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75%</w:t>
            </w:r>
          </w:p>
        </w:tc>
        <w:tc>
          <w:tcPr>
            <w:tcW w:w="3600" w:type="dxa"/>
            <w:tcBorders>
              <w:top w:val="nil"/>
              <w:left w:val="nil"/>
              <w:bottom w:val="single" w:sz="4" w:space="0" w:color="auto"/>
              <w:right w:val="single" w:sz="4" w:space="0" w:color="auto"/>
            </w:tcBorders>
            <w:shd w:val="clear" w:color="auto" w:fill="auto"/>
            <w:vAlign w:val="center"/>
            <w:hideMark/>
          </w:tcPr>
          <w:p w14:paraId="6D269F9C"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assessment with identified implementation strategies and timelines necessary to accurately track and report VR requirements for students with disabilities and pre-employment transition services</w:t>
            </w:r>
          </w:p>
        </w:tc>
        <w:tc>
          <w:tcPr>
            <w:tcW w:w="1440" w:type="dxa"/>
            <w:tcBorders>
              <w:top w:val="nil"/>
              <w:left w:val="nil"/>
              <w:bottom w:val="single" w:sz="4" w:space="0" w:color="auto"/>
              <w:right w:val="single" w:sz="4" w:space="0" w:color="auto"/>
            </w:tcBorders>
            <w:shd w:val="clear" w:color="auto" w:fill="auto"/>
            <w:vAlign w:val="center"/>
            <w:hideMark/>
          </w:tcPr>
          <w:p w14:paraId="7DC61A34"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75%</w:t>
            </w:r>
          </w:p>
        </w:tc>
      </w:tr>
      <w:tr w:rsidR="00585B6D" w:rsidRPr="00585B6D" w14:paraId="0337E62A" w14:textId="77777777" w:rsidTr="00585B6D">
        <w:trPr>
          <w:trHeight w:val="217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18D7BAB"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Assist VR agency in developing and/or revising provider agreements and /or written processes /guidance for service delivery of pre-employment transition services to students with disabilities</w:t>
            </w:r>
          </w:p>
        </w:tc>
        <w:tc>
          <w:tcPr>
            <w:tcW w:w="1280" w:type="dxa"/>
            <w:tcBorders>
              <w:top w:val="nil"/>
              <w:left w:val="nil"/>
              <w:bottom w:val="single" w:sz="4" w:space="0" w:color="auto"/>
              <w:right w:val="single" w:sz="4" w:space="0" w:color="auto"/>
            </w:tcBorders>
            <w:shd w:val="clear" w:color="auto" w:fill="auto"/>
            <w:vAlign w:val="center"/>
            <w:hideMark/>
          </w:tcPr>
          <w:p w14:paraId="5BCE3878"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25%</w:t>
            </w:r>
          </w:p>
        </w:tc>
        <w:tc>
          <w:tcPr>
            <w:tcW w:w="3600" w:type="dxa"/>
            <w:tcBorders>
              <w:top w:val="nil"/>
              <w:left w:val="nil"/>
              <w:bottom w:val="single" w:sz="4" w:space="0" w:color="auto"/>
              <w:right w:val="single" w:sz="4" w:space="0" w:color="auto"/>
            </w:tcBorders>
            <w:shd w:val="clear" w:color="auto" w:fill="auto"/>
            <w:vAlign w:val="center"/>
            <w:hideMark/>
          </w:tcPr>
          <w:p w14:paraId="11593C6C"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Completed draft/revised provider agreements and/or written processes/guidance for service provision to include Jobs for America's Graduates (JAG), Project Search, Comprehensive Transition Program (CTP)</w:t>
            </w:r>
          </w:p>
        </w:tc>
        <w:tc>
          <w:tcPr>
            <w:tcW w:w="1440" w:type="dxa"/>
            <w:tcBorders>
              <w:top w:val="nil"/>
              <w:left w:val="nil"/>
              <w:bottom w:val="single" w:sz="4" w:space="0" w:color="auto"/>
              <w:right w:val="single" w:sz="4" w:space="0" w:color="auto"/>
            </w:tcBorders>
            <w:shd w:val="clear" w:color="auto" w:fill="auto"/>
            <w:vAlign w:val="center"/>
            <w:hideMark/>
          </w:tcPr>
          <w:p w14:paraId="276FB322"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r w:rsidR="00585B6D" w:rsidRPr="00585B6D" w14:paraId="2C763D91" w14:textId="77777777" w:rsidTr="00585B6D">
        <w:trPr>
          <w:trHeight w:val="217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2857F53"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lastRenderedPageBreak/>
              <w:t>Staff training on the allocation of allowable costs (including tracking and reporting), and strategies for effective implementation of pre-employment transition services and transition services for students with disabilities</w:t>
            </w:r>
          </w:p>
        </w:tc>
        <w:tc>
          <w:tcPr>
            <w:tcW w:w="1280" w:type="dxa"/>
            <w:tcBorders>
              <w:top w:val="nil"/>
              <w:left w:val="nil"/>
              <w:bottom w:val="single" w:sz="4" w:space="0" w:color="auto"/>
              <w:right w:val="single" w:sz="4" w:space="0" w:color="auto"/>
            </w:tcBorders>
            <w:shd w:val="clear" w:color="auto" w:fill="auto"/>
            <w:vAlign w:val="center"/>
            <w:hideMark/>
          </w:tcPr>
          <w:p w14:paraId="2672511F"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c>
          <w:tcPr>
            <w:tcW w:w="3600" w:type="dxa"/>
            <w:tcBorders>
              <w:top w:val="nil"/>
              <w:left w:val="nil"/>
              <w:bottom w:val="single" w:sz="4" w:space="0" w:color="auto"/>
              <w:right w:val="single" w:sz="4" w:space="0" w:color="auto"/>
            </w:tcBorders>
            <w:shd w:val="clear" w:color="auto" w:fill="auto"/>
            <w:vAlign w:val="center"/>
            <w:hideMark/>
          </w:tcPr>
          <w:p w14:paraId="0A9EE510" w14:textId="77777777" w:rsidR="00585B6D" w:rsidRPr="00585B6D" w:rsidRDefault="00585B6D" w:rsidP="00585B6D">
            <w:pPr>
              <w:spacing w:after="0" w:line="240" w:lineRule="auto"/>
              <w:rPr>
                <w:rFonts w:eastAsia="Times New Roman"/>
                <w:color w:val="000000"/>
              </w:rPr>
            </w:pPr>
            <w:r w:rsidRPr="00585B6D">
              <w:rPr>
                <w:rFonts w:eastAsia="Times New Roman"/>
                <w:color w:val="000000"/>
              </w:rPr>
              <w:t>The number of staff that receive training</w:t>
            </w:r>
          </w:p>
        </w:tc>
        <w:tc>
          <w:tcPr>
            <w:tcW w:w="1440" w:type="dxa"/>
            <w:tcBorders>
              <w:top w:val="nil"/>
              <w:left w:val="nil"/>
              <w:bottom w:val="single" w:sz="4" w:space="0" w:color="auto"/>
              <w:right w:val="single" w:sz="4" w:space="0" w:color="auto"/>
            </w:tcBorders>
            <w:shd w:val="clear" w:color="auto" w:fill="auto"/>
            <w:vAlign w:val="center"/>
            <w:hideMark/>
          </w:tcPr>
          <w:p w14:paraId="0CC63F47" w14:textId="77777777" w:rsidR="00585B6D" w:rsidRPr="00585B6D" w:rsidRDefault="00585B6D" w:rsidP="00585B6D">
            <w:pPr>
              <w:spacing w:after="0" w:line="240" w:lineRule="auto"/>
              <w:jc w:val="center"/>
              <w:rPr>
                <w:rFonts w:eastAsia="Times New Roman"/>
                <w:color w:val="000000"/>
              </w:rPr>
            </w:pPr>
            <w:r w:rsidRPr="00585B6D">
              <w:rPr>
                <w:rFonts w:eastAsia="Times New Roman"/>
                <w:color w:val="000000"/>
              </w:rPr>
              <w:t>10%</w:t>
            </w:r>
          </w:p>
        </w:tc>
      </w:tr>
    </w:tbl>
    <w:p w14:paraId="0C67D08C" w14:textId="77777777" w:rsidR="0094007C" w:rsidRDefault="0094007C" w:rsidP="0094007C">
      <w:pPr>
        <w:pStyle w:val="Style1"/>
        <w:spacing w:before="360"/>
      </w:pPr>
      <w:r w:rsidRPr="005C5959">
        <w:rPr>
          <w:b/>
          <w:u w:val="single"/>
        </w:rPr>
        <w:t>Delaware Blind</w:t>
      </w:r>
      <w:r>
        <w:t xml:space="preserve">: </w:t>
      </w:r>
    </w:p>
    <w:p w14:paraId="5EA44DDD" w14:textId="29038B39" w:rsidR="00585B6D" w:rsidRDefault="0094007C" w:rsidP="00D4197A">
      <w:pPr>
        <w:pStyle w:val="Style1"/>
        <w:rPr>
          <w:bCs/>
        </w:rPr>
      </w:pPr>
      <w:r>
        <w:rPr>
          <w:bCs/>
        </w:rPr>
        <w:t xml:space="preserve">The ITAA for Delaware Blind was completed and signed on May 11, 2021. The VRTAC-QM began working with DDVI intensely shortly after the project was funded upon request from RSA. The agency had recently been monitored and they had significant findings in the financial management of the program portion of the monitoring. </w:t>
      </w:r>
      <w:proofErr w:type="gramStart"/>
      <w:r>
        <w:rPr>
          <w:bCs/>
        </w:rPr>
        <w:t>All of</w:t>
      </w:r>
      <w:proofErr w:type="gramEnd"/>
      <w:r>
        <w:rPr>
          <w:bCs/>
        </w:rPr>
        <w:t xml:space="preserve"> the activities, outputs and outcomes are related to the fiscal management area. Their work plan is embedded below and can be accessed by double-clicking on the icon.  The work plan is also attached.</w:t>
      </w:r>
    </w:p>
    <w:bookmarkStart w:id="4" w:name="_MON_1732363194"/>
    <w:bookmarkEnd w:id="4"/>
    <w:p w14:paraId="0800D192" w14:textId="64D42D32" w:rsidR="0094007C" w:rsidRDefault="00641C55" w:rsidP="00D4197A">
      <w:pPr>
        <w:pStyle w:val="Style1"/>
        <w:rPr>
          <w:bCs/>
        </w:rPr>
      </w:pPr>
      <w:r>
        <w:rPr>
          <w:bCs/>
        </w:rPr>
        <w:object w:dxaOrig="16185" w:dyaOrig="7796" w14:anchorId="2F2CA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embedded file for the work plan for Delaware Blind.&#10;" style="width:238.55pt;height:122.1pt" o:ole="">
            <v:imagedata r:id="rId8" o:title=""/>
          </v:shape>
          <o:OLEObject Type="Embed" ProgID="Excel.Sheet.12" ShapeID="_x0000_i1025" DrawAspect="Content" ObjectID="_1732452092" r:id="rId9"/>
        </w:object>
      </w:r>
    </w:p>
    <w:p w14:paraId="5DBE7B2A" w14:textId="03D93592" w:rsidR="00585B6D" w:rsidRPr="00585B6D" w:rsidRDefault="00CB4D18" w:rsidP="00D4197A">
      <w:pPr>
        <w:pStyle w:val="Style1"/>
        <w:rPr>
          <w:bCs/>
        </w:rPr>
      </w:pPr>
      <w:r>
        <w:rPr>
          <w:bCs/>
        </w:rPr>
        <w:t xml:space="preserve">The work with DVI has been very intensive and this is reflected in the number of activities that have been completed. There are 15 activities associated with helping DVI respond to their corrective actions.  There are five of these activities that are 100% completed and four at 50% complete.  There are eight fiscal activities, and four of them are 100% complete, one is 90% complete and three are 10% complete.  In </w:t>
      </w:r>
      <w:proofErr w:type="gramStart"/>
      <w:r>
        <w:rPr>
          <w:bCs/>
        </w:rPr>
        <w:t>addition</w:t>
      </w:r>
      <w:proofErr w:type="gramEnd"/>
      <w:r>
        <w:rPr>
          <w:bCs/>
        </w:rPr>
        <w:t xml:space="preserve"> there is one training activity that is 100% complete.</w:t>
      </w:r>
    </w:p>
    <w:p w14:paraId="7CE3EBFB" w14:textId="74FCAD9A" w:rsidR="00632228" w:rsidRDefault="00D4197A" w:rsidP="00D4197A">
      <w:pPr>
        <w:pStyle w:val="Style1"/>
      </w:pPr>
      <w:r w:rsidRPr="00632228">
        <w:rPr>
          <w:b/>
          <w:u w:val="single"/>
        </w:rPr>
        <w:t>Montana Combined</w:t>
      </w:r>
      <w:r>
        <w:t xml:space="preserve">: </w:t>
      </w:r>
    </w:p>
    <w:p w14:paraId="4BB9FECA" w14:textId="6E4D8AA6" w:rsidR="00CB2411" w:rsidRDefault="00CB2411" w:rsidP="008D0A69">
      <w:pPr>
        <w:rPr>
          <w:bCs/>
        </w:rPr>
      </w:pPr>
      <w:r>
        <w:rPr>
          <w:bCs/>
        </w:rPr>
        <w:t xml:space="preserve">The ITAA for Montana was completed on May 20, 2021. The agency transitioned to the </w:t>
      </w:r>
      <w:proofErr w:type="spellStart"/>
      <w:r>
        <w:rPr>
          <w:bCs/>
        </w:rPr>
        <w:t>WellSky</w:t>
      </w:r>
      <w:proofErr w:type="spellEnd"/>
      <w:r>
        <w:rPr>
          <w:bCs/>
        </w:rPr>
        <w:t xml:space="preserve"> case management system in July, which slowed down full implementation of many activities in the ITAA. The agency has taken a considered and deliberate approach to the activities in the ITAA, ensuring that they have the staff time and effort to give to the work. This is helpful for all stakeholders as they do no begin work until they are ready to fully commit.  The current work plan with progress is embedded below and attached.</w:t>
      </w:r>
    </w:p>
    <w:bookmarkStart w:id="5" w:name="_MON_1700057257"/>
    <w:bookmarkEnd w:id="5"/>
    <w:p w14:paraId="2FCD06A1" w14:textId="339F6F50" w:rsidR="00CB2411" w:rsidRPr="00CB2411" w:rsidRDefault="00641C55" w:rsidP="008D0A69">
      <w:pPr>
        <w:rPr>
          <w:bCs/>
        </w:rPr>
      </w:pPr>
      <w:r>
        <w:rPr>
          <w:bCs/>
        </w:rPr>
        <w:object w:dxaOrig="29019" w:dyaOrig="7866" w14:anchorId="6F4B4BAD">
          <v:shape id="_x0000_i1026" type="#_x0000_t75" alt="This is an embedded work plan for Montana Combined" style="width:294.25pt;height:136.5pt" o:ole="">
            <v:imagedata r:id="rId10" o:title=""/>
          </v:shape>
          <o:OLEObject Type="Embed" ProgID="Excel.Sheet.12" ShapeID="_x0000_i1026" DrawAspect="Content" ObjectID="_1732452093" r:id="rId11"/>
        </w:object>
      </w:r>
    </w:p>
    <w:p w14:paraId="2891A5C0" w14:textId="77777777" w:rsidR="00CB2411" w:rsidRDefault="00CB2411" w:rsidP="008D0A69">
      <w:pPr>
        <w:rPr>
          <w:b/>
          <w:u w:val="single"/>
        </w:rPr>
      </w:pPr>
    </w:p>
    <w:p w14:paraId="147FD33C" w14:textId="2864C913" w:rsidR="008D0A69" w:rsidRDefault="008D0A69" w:rsidP="008D0A69">
      <w:pPr>
        <w:rPr>
          <w:b/>
          <w:u w:val="single"/>
        </w:rPr>
      </w:pPr>
      <w:r w:rsidRPr="00A136A6">
        <w:rPr>
          <w:b/>
          <w:u w:val="single"/>
        </w:rPr>
        <w:t>Pennsylvania Combined:</w:t>
      </w:r>
    </w:p>
    <w:p w14:paraId="3D82ABA4" w14:textId="66AE0B45" w:rsidR="00BD4D63" w:rsidRDefault="00BD4D63" w:rsidP="008D0A69">
      <w:pPr>
        <w:rPr>
          <w:bCs/>
        </w:rPr>
      </w:pPr>
      <w:r>
        <w:rPr>
          <w:bCs/>
        </w:rPr>
        <w:t>The ITAA for Pennsylvania Combined was completed on June 28, 2021. This agreement is a collaboration with the NTACT:</w:t>
      </w:r>
      <w:proofErr w:type="gramStart"/>
      <w:r>
        <w:rPr>
          <w:bCs/>
        </w:rPr>
        <w:t>C, and</w:t>
      </w:r>
      <w:proofErr w:type="gramEnd"/>
      <w:r>
        <w:rPr>
          <w:bCs/>
        </w:rPr>
        <w:t xml:space="preserve"> may become one with the VRTAC-QE eventually. There are many activities included in this ITAA. Focus areas include training in the VR process, WIOA performance accountability reporting and data analysis, policies and procedures review development and revision and pre-employment transition services.</w:t>
      </w:r>
    </w:p>
    <w:p w14:paraId="3DF35213" w14:textId="5406F413" w:rsidR="00BD4D63" w:rsidRDefault="009F740E" w:rsidP="008D0A69">
      <w:pPr>
        <w:rPr>
          <w:bCs/>
        </w:rPr>
      </w:pPr>
      <w:r>
        <w:rPr>
          <w:bCs/>
        </w:rPr>
        <w:t>Th</w:t>
      </w:r>
      <w:r w:rsidR="00BD4D63">
        <w:rPr>
          <w:bCs/>
        </w:rPr>
        <w:t>e current work plan for the agency is embedded below and attached to this report.</w:t>
      </w:r>
    </w:p>
    <w:p w14:paraId="5FF8D447" w14:textId="446819E2" w:rsidR="00BD4D63" w:rsidRDefault="00641C55" w:rsidP="008D0A69">
      <w:pPr>
        <w:rPr>
          <w:bCs/>
        </w:rPr>
      </w:pPr>
      <w:r>
        <w:rPr>
          <w:bCs/>
        </w:rPr>
        <w:object w:dxaOrig="29529" w:dyaOrig="11664" w14:anchorId="155BF932">
          <v:shape id="_x0000_i1027" type="#_x0000_t75" alt="This is an embedded work plan file for Pennsylvania Combined" style="width:292.4pt;height:157.75pt" o:ole="">
            <v:imagedata r:id="rId12" o:title=""/>
          </v:shape>
          <o:OLEObject Type="Embed" ProgID="Excel.Sheet.12" ShapeID="_x0000_i1027" DrawAspect="Content" ObjectID="_1732452094" r:id="rId13"/>
        </w:object>
      </w:r>
    </w:p>
    <w:p w14:paraId="026B684B" w14:textId="600B4A16" w:rsidR="00F41A7A" w:rsidRDefault="00F41A7A" w:rsidP="00F41A7A">
      <w:pPr>
        <w:pStyle w:val="Heading2"/>
        <w:spacing w:before="240" w:after="120"/>
      </w:pPr>
      <w:bookmarkStart w:id="6" w:name="_Toc92084368"/>
      <w:r>
        <w:t>SWOT assessment to</w:t>
      </w:r>
      <w:r w:rsidR="00AD34AB">
        <w:t>o</w:t>
      </w:r>
      <w:r>
        <w:t>ls development and assessments conducted</w:t>
      </w:r>
      <w:bookmarkEnd w:id="6"/>
    </w:p>
    <w:p w14:paraId="50788646" w14:textId="44DE9C7C" w:rsidR="00F41A7A" w:rsidRDefault="00A43553" w:rsidP="00A43553">
      <w:r>
        <w:t xml:space="preserve">The team at VRTAC-QM worked closely with RSA to develop the SWOT analysis tool at the beginning of the project. The final version of the tool is very comprehensive and would take a considerable amount of time to work through with an agency if we started at the beginning and worked all the way through. The common way of conducting a SWOT to date has been to review the areas with the agency and determine what areas they would like to review once we have worked through their perspective on their strengths, weaknesses, </w:t>
      </w:r>
      <w:proofErr w:type="gramStart"/>
      <w:r>
        <w:t>opportunities</w:t>
      </w:r>
      <w:proofErr w:type="gramEnd"/>
      <w:r>
        <w:t xml:space="preserve"> and threats.</w:t>
      </w:r>
    </w:p>
    <w:p w14:paraId="2B261BB6" w14:textId="4DCB1CC8" w:rsidR="00A43553" w:rsidRDefault="00A43553" w:rsidP="00A43553">
      <w:r>
        <w:t>In addition to the four SWOTs conducted for the four intensive TA states, we conducted four other SOWTs in Year One, for a total of eight. The SWOTs were:</w:t>
      </w:r>
    </w:p>
    <w:p w14:paraId="041C13C7" w14:textId="0F204F4F" w:rsidR="00A43553" w:rsidRDefault="00911B93" w:rsidP="00CF744E">
      <w:pPr>
        <w:pStyle w:val="ListParagraph"/>
        <w:numPr>
          <w:ilvl w:val="3"/>
          <w:numId w:val="27"/>
        </w:numPr>
        <w:ind w:left="720"/>
      </w:pPr>
      <w:r>
        <w:t xml:space="preserve">Maryland Combined on August 18, </w:t>
      </w:r>
      <w:proofErr w:type="gramStart"/>
      <w:r>
        <w:t>2021;</w:t>
      </w:r>
      <w:proofErr w:type="gramEnd"/>
    </w:p>
    <w:p w14:paraId="49117476" w14:textId="658F3648" w:rsidR="00911B93" w:rsidRDefault="00911B93" w:rsidP="00CF744E">
      <w:pPr>
        <w:pStyle w:val="ListParagraph"/>
        <w:numPr>
          <w:ilvl w:val="3"/>
          <w:numId w:val="27"/>
        </w:numPr>
        <w:ind w:left="720"/>
      </w:pPr>
      <w:r>
        <w:t xml:space="preserve">Florida General on August 27, </w:t>
      </w:r>
      <w:proofErr w:type="gramStart"/>
      <w:r>
        <w:t>2021;</w:t>
      </w:r>
      <w:proofErr w:type="gramEnd"/>
    </w:p>
    <w:p w14:paraId="25C36291" w14:textId="6170836E" w:rsidR="00911B93" w:rsidRDefault="00911B93" w:rsidP="00CF744E">
      <w:pPr>
        <w:pStyle w:val="ListParagraph"/>
        <w:numPr>
          <w:ilvl w:val="3"/>
          <w:numId w:val="27"/>
        </w:numPr>
        <w:ind w:left="720"/>
      </w:pPr>
      <w:r>
        <w:t>Washington Blind on August 30, 2021; and</w:t>
      </w:r>
    </w:p>
    <w:p w14:paraId="346EF02C" w14:textId="099EE50A" w:rsidR="00911B93" w:rsidRDefault="00911B93" w:rsidP="00CF744E">
      <w:pPr>
        <w:pStyle w:val="ListParagraph"/>
        <w:numPr>
          <w:ilvl w:val="3"/>
          <w:numId w:val="27"/>
        </w:numPr>
        <w:ind w:left="720"/>
      </w:pPr>
      <w:r>
        <w:t>South Carolina General on September 15, 2021.</w:t>
      </w:r>
    </w:p>
    <w:p w14:paraId="2FC559EB" w14:textId="171BE63D" w:rsidR="00911B93" w:rsidRDefault="00911B93" w:rsidP="00911B93">
      <w:proofErr w:type="gramStart"/>
      <w:r>
        <w:lastRenderedPageBreak/>
        <w:t>All of</w:t>
      </w:r>
      <w:proofErr w:type="gramEnd"/>
      <w:r>
        <w:t xml:space="preserve"> the above SWOTs are likely to lead to intensive agreements, with all but South Carolina General likely to be completed in the first quarter of Year Two.</w:t>
      </w:r>
    </w:p>
    <w:p w14:paraId="245C74C6" w14:textId="19A4261F" w:rsidR="00911B93" w:rsidRDefault="00911B93" w:rsidP="00911B93">
      <w:r>
        <w:t>The SWOT assessment tools is embedded below and attached to this report.</w:t>
      </w:r>
    </w:p>
    <w:p w14:paraId="49573EDD" w14:textId="154732B6" w:rsidR="00911B93" w:rsidRDefault="00641C55" w:rsidP="00911B93">
      <w:r>
        <w:object w:dxaOrig="10257" w:dyaOrig="8000" w14:anchorId="4251D86E">
          <v:shape id="_x0000_i1028" type="#_x0000_t75" alt="Thsi is an embedded file of the SWOT tool used by the VRTAC-QM" style="width:243.55pt;height:167.15pt" o:ole="">
            <v:imagedata r:id="rId14" o:title=""/>
          </v:shape>
          <o:OLEObject Type="Embed" ProgID="Excel.Sheet.12" ShapeID="_x0000_i1028" DrawAspect="Content" ObjectID="_1732452095" r:id="rId15"/>
        </w:object>
      </w:r>
    </w:p>
    <w:p w14:paraId="26B04E43" w14:textId="223BF5E8" w:rsidR="00DC0625" w:rsidRDefault="00DC0625" w:rsidP="00DC0625">
      <w:pPr>
        <w:pStyle w:val="Heading2"/>
        <w:spacing w:before="240"/>
      </w:pPr>
      <w:bookmarkStart w:id="7" w:name="_Toc92084369"/>
      <w:r>
        <w:t>Program Evaluation:</w:t>
      </w:r>
      <w:bookmarkEnd w:id="7"/>
    </w:p>
    <w:p w14:paraId="54A67100" w14:textId="77777777" w:rsidR="000F2724" w:rsidRDefault="005C5959" w:rsidP="00AF5BF7">
      <w:pPr>
        <w:pStyle w:val="Style1"/>
      </w:pPr>
      <w:r>
        <w:t xml:space="preserve">The </w:t>
      </w:r>
      <w:r w:rsidR="003B55F9">
        <w:t>end of year annual</w:t>
      </w:r>
      <w:r>
        <w:t xml:space="preserve"> program evaluation report will be submitted 30 days after this report is completed as the data in this report is necessary</w:t>
      </w:r>
      <w:r w:rsidR="006C6D1C">
        <w:t xml:space="preserve"> to complete the report.  </w:t>
      </w:r>
      <w:r w:rsidR="003B55F9">
        <w:t xml:space="preserve">There is significant program evaluation data available from the intensive and targeted TA provided the first year and this information will be included in the annual program evaluation report.  </w:t>
      </w:r>
    </w:p>
    <w:p w14:paraId="7EDBCFC1" w14:textId="4B2E66E7" w:rsidR="000F2724" w:rsidRDefault="000F2724" w:rsidP="00AF5BF7">
      <w:pPr>
        <w:pStyle w:val="Style1"/>
      </w:pPr>
      <w:r>
        <w:t>Our ability to collect comprehensive program evaluation data was developmental in the first six months of the program. When we tried sending electronic evaluations after providing a training by Zoom, there was a very small response rate. When we embedded the evaluation link in the presentation itself, posted it in the chat box near the end of the presentation and then gave participants time at the end of the presentation to complete the evaluation, the response rate was considerably higher. Table 5 includes the results of formal evaluations that include the GPRA measures completed during the first year of the project.</w:t>
      </w:r>
    </w:p>
    <w:p w14:paraId="4C0694EE" w14:textId="76266712" w:rsidR="000F2724" w:rsidRDefault="000F2724" w:rsidP="000F2724">
      <w:pPr>
        <w:pStyle w:val="NoSpacing"/>
      </w:pPr>
      <w:r>
        <w:t>Table 5: Evaluation Results for the GPRA Measures</w:t>
      </w:r>
    </w:p>
    <w:tbl>
      <w:tblPr>
        <w:tblW w:w="9506" w:type="dxa"/>
        <w:tblLook w:val="04A0" w:firstRow="1" w:lastRow="0" w:firstColumn="1" w:lastColumn="0" w:noHBand="0" w:noVBand="1"/>
      </w:tblPr>
      <w:tblGrid>
        <w:gridCol w:w="2836"/>
        <w:gridCol w:w="1320"/>
        <w:gridCol w:w="1037"/>
        <w:gridCol w:w="1105"/>
        <w:gridCol w:w="1037"/>
        <w:gridCol w:w="1105"/>
        <w:gridCol w:w="1066"/>
      </w:tblGrid>
      <w:tr w:rsidR="00BE2FC6" w:rsidRPr="00BE2FC6" w14:paraId="2E8B2EDA" w14:textId="77777777" w:rsidTr="000C2D8F">
        <w:trPr>
          <w:trHeight w:val="310"/>
          <w:tblHeader/>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0FB55A"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Training and/or TA</w:t>
            </w:r>
          </w:p>
        </w:tc>
        <w:tc>
          <w:tcPr>
            <w:tcW w:w="2357" w:type="dxa"/>
            <w:gridSpan w:val="2"/>
            <w:tcBorders>
              <w:top w:val="single" w:sz="4" w:space="0" w:color="auto"/>
              <w:left w:val="nil"/>
              <w:bottom w:val="single" w:sz="4" w:space="0" w:color="auto"/>
              <w:right w:val="single" w:sz="4" w:space="0" w:color="auto"/>
            </w:tcBorders>
            <w:shd w:val="clear" w:color="000000" w:fill="FCE4D6"/>
            <w:vAlign w:val="center"/>
            <w:hideMark/>
          </w:tcPr>
          <w:p w14:paraId="02AD1F2E"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High Quality</w:t>
            </w:r>
          </w:p>
        </w:tc>
        <w:tc>
          <w:tcPr>
            <w:tcW w:w="2142" w:type="dxa"/>
            <w:gridSpan w:val="2"/>
            <w:tcBorders>
              <w:top w:val="single" w:sz="4" w:space="0" w:color="auto"/>
              <w:left w:val="nil"/>
              <w:bottom w:val="single" w:sz="4" w:space="0" w:color="auto"/>
              <w:right w:val="single" w:sz="4" w:space="0" w:color="auto"/>
            </w:tcBorders>
            <w:shd w:val="clear" w:color="000000" w:fill="FCE4D6"/>
            <w:vAlign w:val="center"/>
            <w:hideMark/>
          </w:tcPr>
          <w:p w14:paraId="4691E753"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Relevant</w:t>
            </w:r>
          </w:p>
        </w:tc>
        <w:tc>
          <w:tcPr>
            <w:tcW w:w="2171" w:type="dxa"/>
            <w:gridSpan w:val="2"/>
            <w:tcBorders>
              <w:top w:val="single" w:sz="4" w:space="0" w:color="auto"/>
              <w:left w:val="nil"/>
              <w:bottom w:val="single" w:sz="4" w:space="0" w:color="auto"/>
              <w:right w:val="single" w:sz="4" w:space="0" w:color="auto"/>
            </w:tcBorders>
            <w:shd w:val="clear" w:color="000000" w:fill="FCE4D6"/>
            <w:vAlign w:val="center"/>
            <w:hideMark/>
          </w:tcPr>
          <w:p w14:paraId="66643D29"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Useful</w:t>
            </w:r>
          </w:p>
        </w:tc>
      </w:tr>
      <w:tr w:rsidR="00BE2FC6" w:rsidRPr="00BE2FC6" w14:paraId="3BEAA874" w14:textId="77777777" w:rsidTr="000C2D8F">
        <w:trPr>
          <w:trHeight w:val="310"/>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C913CAF" w14:textId="77777777" w:rsidR="00BE2FC6" w:rsidRPr="00BE2FC6" w:rsidRDefault="00BE2FC6" w:rsidP="00BE2FC6">
            <w:pPr>
              <w:spacing w:after="0" w:line="240" w:lineRule="auto"/>
              <w:rPr>
                <w:rFonts w:eastAsia="Times New Roman"/>
                <w:b/>
                <w:bCs/>
                <w:color w:val="000000"/>
              </w:rPr>
            </w:pPr>
          </w:p>
        </w:tc>
        <w:tc>
          <w:tcPr>
            <w:tcW w:w="1320" w:type="dxa"/>
            <w:tcBorders>
              <w:top w:val="nil"/>
              <w:left w:val="nil"/>
              <w:bottom w:val="single" w:sz="4" w:space="0" w:color="auto"/>
              <w:right w:val="single" w:sz="4" w:space="0" w:color="auto"/>
            </w:tcBorders>
            <w:shd w:val="clear" w:color="000000" w:fill="F8CBAD"/>
            <w:vAlign w:val="center"/>
            <w:hideMark/>
          </w:tcPr>
          <w:p w14:paraId="5AD1D718"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Number</w:t>
            </w:r>
          </w:p>
        </w:tc>
        <w:tc>
          <w:tcPr>
            <w:tcW w:w="1036" w:type="dxa"/>
            <w:tcBorders>
              <w:top w:val="nil"/>
              <w:left w:val="nil"/>
              <w:bottom w:val="single" w:sz="4" w:space="0" w:color="auto"/>
              <w:right w:val="single" w:sz="4" w:space="0" w:color="auto"/>
            </w:tcBorders>
            <w:shd w:val="clear" w:color="000000" w:fill="F8CBAD"/>
            <w:vAlign w:val="center"/>
            <w:hideMark/>
          </w:tcPr>
          <w:p w14:paraId="3F35A589"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Percent</w:t>
            </w:r>
          </w:p>
        </w:tc>
        <w:tc>
          <w:tcPr>
            <w:tcW w:w="1105" w:type="dxa"/>
            <w:tcBorders>
              <w:top w:val="nil"/>
              <w:left w:val="nil"/>
              <w:bottom w:val="single" w:sz="4" w:space="0" w:color="auto"/>
              <w:right w:val="single" w:sz="4" w:space="0" w:color="auto"/>
            </w:tcBorders>
            <w:shd w:val="clear" w:color="000000" w:fill="F8CBAD"/>
            <w:vAlign w:val="center"/>
            <w:hideMark/>
          </w:tcPr>
          <w:p w14:paraId="081C4F3E"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Number</w:t>
            </w:r>
          </w:p>
        </w:tc>
        <w:tc>
          <w:tcPr>
            <w:tcW w:w="1036" w:type="dxa"/>
            <w:tcBorders>
              <w:top w:val="nil"/>
              <w:left w:val="nil"/>
              <w:bottom w:val="single" w:sz="4" w:space="0" w:color="auto"/>
              <w:right w:val="single" w:sz="4" w:space="0" w:color="auto"/>
            </w:tcBorders>
            <w:shd w:val="clear" w:color="000000" w:fill="F8CBAD"/>
            <w:vAlign w:val="center"/>
            <w:hideMark/>
          </w:tcPr>
          <w:p w14:paraId="4118A22A"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Percent</w:t>
            </w:r>
          </w:p>
        </w:tc>
        <w:tc>
          <w:tcPr>
            <w:tcW w:w="1105" w:type="dxa"/>
            <w:tcBorders>
              <w:top w:val="nil"/>
              <w:left w:val="nil"/>
              <w:bottom w:val="single" w:sz="4" w:space="0" w:color="auto"/>
              <w:right w:val="single" w:sz="4" w:space="0" w:color="auto"/>
            </w:tcBorders>
            <w:shd w:val="clear" w:color="000000" w:fill="F8CBAD"/>
            <w:vAlign w:val="center"/>
            <w:hideMark/>
          </w:tcPr>
          <w:p w14:paraId="6911F847"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Number</w:t>
            </w:r>
          </w:p>
        </w:tc>
        <w:tc>
          <w:tcPr>
            <w:tcW w:w="1065" w:type="dxa"/>
            <w:tcBorders>
              <w:top w:val="nil"/>
              <w:left w:val="nil"/>
              <w:bottom w:val="single" w:sz="4" w:space="0" w:color="auto"/>
              <w:right w:val="single" w:sz="4" w:space="0" w:color="auto"/>
            </w:tcBorders>
            <w:shd w:val="clear" w:color="000000" w:fill="F8CBAD"/>
            <w:vAlign w:val="center"/>
            <w:hideMark/>
          </w:tcPr>
          <w:p w14:paraId="716E9F85" w14:textId="77777777" w:rsidR="00BE2FC6" w:rsidRPr="00BE2FC6" w:rsidRDefault="00BE2FC6" w:rsidP="00BE2FC6">
            <w:pPr>
              <w:spacing w:after="0" w:line="240" w:lineRule="auto"/>
              <w:jc w:val="center"/>
              <w:rPr>
                <w:rFonts w:eastAsia="Times New Roman"/>
                <w:b/>
                <w:bCs/>
                <w:color w:val="000000"/>
              </w:rPr>
            </w:pPr>
            <w:r w:rsidRPr="00BE2FC6">
              <w:rPr>
                <w:rFonts w:eastAsia="Times New Roman"/>
                <w:b/>
                <w:bCs/>
                <w:color w:val="000000"/>
              </w:rPr>
              <w:t>Percent</w:t>
            </w:r>
          </w:p>
        </w:tc>
      </w:tr>
      <w:tr w:rsidR="00BE2FC6" w:rsidRPr="00BE2FC6" w14:paraId="06E61D1F"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44D3CCA"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Idaho Blind Other Measures that Matter</w:t>
            </w:r>
          </w:p>
        </w:tc>
        <w:tc>
          <w:tcPr>
            <w:tcW w:w="1320" w:type="dxa"/>
            <w:tcBorders>
              <w:top w:val="nil"/>
              <w:left w:val="nil"/>
              <w:bottom w:val="single" w:sz="4" w:space="0" w:color="auto"/>
              <w:right w:val="single" w:sz="4" w:space="0" w:color="auto"/>
            </w:tcBorders>
            <w:shd w:val="clear" w:color="auto" w:fill="auto"/>
            <w:vAlign w:val="center"/>
            <w:hideMark/>
          </w:tcPr>
          <w:p w14:paraId="1221D24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28</w:t>
            </w:r>
          </w:p>
        </w:tc>
        <w:tc>
          <w:tcPr>
            <w:tcW w:w="1036" w:type="dxa"/>
            <w:tcBorders>
              <w:top w:val="nil"/>
              <w:left w:val="nil"/>
              <w:bottom w:val="single" w:sz="4" w:space="0" w:color="auto"/>
              <w:right w:val="single" w:sz="4" w:space="0" w:color="auto"/>
            </w:tcBorders>
            <w:shd w:val="clear" w:color="auto" w:fill="auto"/>
            <w:vAlign w:val="center"/>
            <w:hideMark/>
          </w:tcPr>
          <w:p w14:paraId="368C8672"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98%</w:t>
            </w:r>
          </w:p>
        </w:tc>
        <w:tc>
          <w:tcPr>
            <w:tcW w:w="1105" w:type="dxa"/>
            <w:tcBorders>
              <w:top w:val="nil"/>
              <w:left w:val="nil"/>
              <w:bottom w:val="single" w:sz="4" w:space="0" w:color="auto"/>
              <w:right w:val="single" w:sz="4" w:space="0" w:color="auto"/>
            </w:tcBorders>
            <w:shd w:val="clear" w:color="auto" w:fill="auto"/>
            <w:vAlign w:val="center"/>
            <w:hideMark/>
          </w:tcPr>
          <w:p w14:paraId="480E940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28</w:t>
            </w:r>
          </w:p>
        </w:tc>
        <w:tc>
          <w:tcPr>
            <w:tcW w:w="1036" w:type="dxa"/>
            <w:tcBorders>
              <w:top w:val="nil"/>
              <w:left w:val="nil"/>
              <w:bottom w:val="single" w:sz="4" w:space="0" w:color="auto"/>
              <w:right w:val="single" w:sz="4" w:space="0" w:color="auto"/>
            </w:tcBorders>
            <w:shd w:val="clear" w:color="auto" w:fill="auto"/>
            <w:vAlign w:val="center"/>
            <w:hideMark/>
          </w:tcPr>
          <w:p w14:paraId="7252083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98%</w:t>
            </w:r>
          </w:p>
        </w:tc>
        <w:tc>
          <w:tcPr>
            <w:tcW w:w="1105" w:type="dxa"/>
            <w:tcBorders>
              <w:top w:val="nil"/>
              <w:left w:val="nil"/>
              <w:bottom w:val="single" w:sz="4" w:space="0" w:color="auto"/>
              <w:right w:val="single" w:sz="4" w:space="0" w:color="auto"/>
            </w:tcBorders>
            <w:shd w:val="clear" w:color="auto" w:fill="auto"/>
            <w:vAlign w:val="center"/>
            <w:hideMark/>
          </w:tcPr>
          <w:p w14:paraId="5011215B"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28</w:t>
            </w:r>
          </w:p>
        </w:tc>
        <w:tc>
          <w:tcPr>
            <w:tcW w:w="1065" w:type="dxa"/>
            <w:tcBorders>
              <w:top w:val="nil"/>
              <w:left w:val="nil"/>
              <w:bottom w:val="single" w:sz="4" w:space="0" w:color="auto"/>
              <w:right w:val="single" w:sz="4" w:space="0" w:color="auto"/>
            </w:tcBorders>
            <w:shd w:val="clear" w:color="auto" w:fill="auto"/>
            <w:vAlign w:val="center"/>
            <w:hideMark/>
          </w:tcPr>
          <w:p w14:paraId="3C398D1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98%</w:t>
            </w:r>
          </w:p>
        </w:tc>
      </w:tr>
      <w:tr w:rsidR="00BE2FC6" w:rsidRPr="00BE2FC6" w14:paraId="54EE6EB5"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4F7F478"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Idaho General Other Measures that matter</w:t>
            </w:r>
          </w:p>
        </w:tc>
        <w:tc>
          <w:tcPr>
            <w:tcW w:w="1320" w:type="dxa"/>
            <w:tcBorders>
              <w:top w:val="nil"/>
              <w:left w:val="nil"/>
              <w:bottom w:val="single" w:sz="4" w:space="0" w:color="auto"/>
              <w:right w:val="single" w:sz="4" w:space="0" w:color="auto"/>
            </w:tcBorders>
            <w:shd w:val="clear" w:color="auto" w:fill="auto"/>
            <w:vAlign w:val="center"/>
            <w:hideMark/>
          </w:tcPr>
          <w:p w14:paraId="776A80F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85</w:t>
            </w:r>
          </w:p>
        </w:tc>
        <w:tc>
          <w:tcPr>
            <w:tcW w:w="1036" w:type="dxa"/>
            <w:tcBorders>
              <w:top w:val="nil"/>
              <w:left w:val="nil"/>
              <w:bottom w:val="single" w:sz="4" w:space="0" w:color="auto"/>
              <w:right w:val="single" w:sz="4" w:space="0" w:color="auto"/>
            </w:tcBorders>
            <w:shd w:val="clear" w:color="auto" w:fill="auto"/>
            <w:vAlign w:val="center"/>
            <w:hideMark/>
          </w:tcPr>
          <w:p w14:paraId="4BE3BBE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99%</w:t>
            </w:r>
          </w:p>
        </w:tc>
        <w:tc>
          <w:tcPr>
            <w:tcW w:w="1105" w:type="dxa"/>
            <w:tcBorders>
              <w:top w:val="nil"/>
              <w:left w:val="nil"/>
              <w:bottom w:val="single" w:sz="4" w:space="0" w:color="auto"/>
              <w:right w:val="single" w:sz="4" w:space="0" w:color="auto"/>
            </w:tcBorders>
            <w:shd w:val="clear" w:color="auto" w:fill="auto"/>
            <w:vAlign w:val="center"/>
            <w:hideMark/>
          </w:tcPr>
          <w:p w14:paraId="7AAD9F0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85</w:t>
            </w:r>
          </w:p>
        </w:tc>
        <w:tc>
          <w:tcPr>
            <w:tcW w:w="1036" w:type="dxa"/>
            <w:tcBorders>
              <w:top w:val="nil"/>
              <w:left w:val="nil"/>
              <w:bottom w:val="single" w:sz="4" w:space="0" w:color="auto"/>
              <w:right w:val="single" w:sz="4" w:space="0" w:color="auto"/>
            </w:tcBorders>
            <w:shd w:val="clear" w:color="auto" w:fill="auto"/>
            <w:vAlign w:val="center"/>
            <w:hideMark/>
          </w:tcPr>
          <w:p w14:paraId="71BBD71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99%</w:t>
            </w:r>
          </w:p>
        </w:tc>
        <w:tc>
          <w:tcPr>
            <w:tcW w:w="1105" w:type="dxa"/>
            <w:tcBorders>
              <w:top w:val="nil"/>
              <w:left w:val="nil"/>
              <w:bottom w:val="single" w:sz="4" w:space="0" w:color="auto"/>
              <w:right w:val="single" w:sz="4" w:space="0" w:color="auto"/>
            </w:tcBorders>
            <w:shd w:val="clear" w:color="auto" w:fill="auto"/>
            <w:vAlign w:val="center"/>
            <w:hideMark/>
          </w:tcPr>
          <w:p w14:paraId="4E387DA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85</w:t>
            </w:r>
          </w:p>
        </w:tc>
        <w:tc>
          <w:tcPr>
            <w:tcW w:w="1065" w:type="dxa"/>
            <w:tcBorders>
              <w:top w:val="nil"/>
              <w:left w:val="nil"/>
              <w:bottom w:val="single" w:sz="4" w:space="0" w:color="auto"/>
              <w:right w:val="single" w:sz="4" w:space="0" w:color="auto"/>
            </w:tcBorders>
            <w:shd w:val="clear" w:color="auto" w:fill="auto"/>
            <w:vAlign w:val="center"/>
            <w:hideMark/>
          </w:tcPr>
          <w:p w14:paraId="68385A55"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99%</w:t>
            </w:r>
          </w:p>
        </w:tc>
      </w:tr>
      <w:tr w:rsidR="00BE2FC6" w:rsidRPr="00BE2FC6" w14:paraId="3534F2A5"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A19EAF2"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Pennsylvania MSG and Credential training</w:t>
            </w:r>
          </w:p>
        </w:tc>
        <w:tc>
          <w:tcPr>
            <w:tcW w:w="1320" w:type="dxa"/>
            <w:tcBorders>
              <w:top w:val="nil"/>
              <w:left w:val="nil"/>
              <w:bottom w:val="single" w:sz="4" w:space="0" w:color="auto"/>
              <w:right w:val="single" w:sz="4" w:space="0" w:color="auto"/>
            </w:tcBorders>
            <w:shd w:val="clear" w:color="auto" w:fill="auto"/>
            <w:vAlign w:val="center"/>
            <w:hideMark/>
          </w:tcPr>
          <w:p w14:paraId="2F5733E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w:t>
            </w:r>
          </w:p>
        </w:tc>
        <w:tc>
          <w:tcPr>
            <w:tcW w:w="1036" w:type="dxa"/>
            <w:tcBorders>
              <w:top w:val="nil"/>
              <w:left w:val="nil"/>
              <w:bottom w:val="single" w:sz="4" w:space="0" w:color="auto"/>
              <w:right w:val="single" w:sz="4" w:space="0" w:color="auto"/>
            </w:tcBorders>
            <w:shd w:val="clear" w:color="auto" w:fill="auto"/>
            <w:vAlign w:val="center"/>
            <w:hideMark/>
          </w:tcPr>
          <w:p w14:paraId="3F6F3DF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29AA3D00"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w:t>
            </w:r>
          </w:p>
        </w:tc>
        <w:tc>
          <w:tcPr>
            <w:tcW w:w="1036" w:type="dxa"/>
            <w:tcBorders>
              <w:top w:val="nil"/>
              <w:left w:val="nil"/>
              <w:bottom w:val="single" w:sz="4" w:space="0" w:color="auto"/>
              <w:right w:val="single" w:sz="4" w:space="0" w:color="auto"/>
            </w:tcBorders>
            <w:shd w:val="clear" w:color="auto" w:fill="auto"/>
            <w:vAlign w:val="center"/>
            <w:hideMark/>
          </w:tcPr>
          <w:p w14:paraId="02F2E8EB"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3BDE308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w:t>
            </w:r>
          </w:p>
        </w:tc>
        <w:tc>
          <w:tcPr>
            <w:tcW w:w="1065" w:type="dxa"/>
            <w:tcBorders>
              <w:top w:val="nil"/>
              <w:left w:val="nil"/>
              <w:bottom w:val="single" w:sz="4" w:space="0" w:color="auto"/>
              <w:right w:val="single" w:sz="4" w:space="0" w:color="auto"/>
            </w:tcBorders>
            <w:shd w:val="clear" w:color="auto" w:fill="auto"/>
            <w:vAlign w:val="center"/>
            <w:hideMark/>
          </w:tcPr>
          <w:p w14:paraId="55F8648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r>
      <w:tr w:rsidR="00BE2FC6" w:rsidRPr="00BE2FC6" w14:paraId="06E0701B"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B4D83D9"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Iowa Blind Eligibility Training</w:t>
            </w:r>
          </w:p>
        </w:tc>
        <w:tc>
          <w:tcPr>
            <w:tcW w:w="1320" w:type="dxa"/>
            <w:tcBorders>
              <w:top w:val="nil"/>
              <w:left w:val="nil"/>
              <w:bottom w:val="single" w:sz="4" w:space="0" w:color="auto"/>
              <w:right w:val="single" w:sz="4" w:space="0" w:color="auto"/>
            </w:tcBorders>
            <w:shd w:val="clear" w:color="auto" w:fill="auto"/>
            <w:vAlign w:val="center"/>
            <w:hideMark/>
          </w:tcPr>
          <w:p w14:paraId="77C808D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w:t>
            </w:r>
          </w:p>
        </w:tc>
        <w:tc>
          <w:tcPr>
            <w:tcW w:w="1036" w:type="dxa"/>
            <w:tcBorders>
              <w:top w:val="nil"/>
              <w:left w:val="nil"/>
              <w:bottom w:val="single" w:sz="4" w:space="0" w:color="auto"/>
              <w:right w:val="single" w:sz="4" w:space="0" w:color="auto"/>
            </w:tcBorders>
            <w:shd w:val="clear" w:color="auto" w:fill="auto"/>
            <w:vAlign w:val="center"/>
            <w:hideMark/>
          </w:tcPr>
          <w:p w14:paraId="5008780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6FF2511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w:t>
            </w:r>
          </w:p>
        </w:tc>
        <w:tc>
          <w:tcPr>
            <w:tcW w:w="1036" w:type="dxa"/>
            <w:tcBorders>
              <w:top w:val="nil"/>
              <w:left w:val="nil"/>
              <w:bottom w:val="single" w:sz="4" w:space="0" w:color="auto"/>
              <w:right w:val="single" w:sz="4" w:space="0" w:color="auto"/>
            </w:tcBorders>
            <w:shd w:val="clear" w:color="auto" w:fill="auto"/>
            <w:vAlign w:val="center"/>
            <w:hideMark/>
          </w:tcPr>
          <w:p w14:paraId="3E1D5B9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0750468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w:t>
            </w:r>
          </w:p>
        </w:tc>
        <w:tc>
          <w:tcPr>
            <w:tcW w:w="1065" w:type="dxa"/>
            <w:tcBorders>
              <w:top w:val="nil"/>
              <w:left w:val="nil"/>
              <w:bottom w:val="single" w:sz="4" w:space="0" w:color="auto"/>
              <w:right w:val="single" w:sz="4" w:space="0" w:color="auto"/>
            </w:tcBorders>
            <w:shd w:val="clear" w:color="auto" w:fill="auto"/>
            <w:vAlign w:val="center"/>
            <w:hideMark/>
          </w:tcPr>
          <w:p w14:paraId="2DADFD70"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r>
      <w:tr w:rsidR="00BE2FC6" w:rsidRPr="00BE2FC6" w14:paraId="43F221A9"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B397B0C"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Kansas Eligibility Training</w:t>
            </w:r>
          </w:p>
        </w:tc>
        <w:tc>
          <w:tcPr>
            <w:tcW w:w="1320" w:type="dxa"/>
            <w:tcBorders>
              <w:top w:val="nil"/>
              <w:left w:val="nil"/>
              <w:bottom w:val="single" w:sz="4" w:space="0" w:color="auto"/>
              <w:right w:val="single" w:sz="4" w:space="0" w:color="auto"/>
            </w:tcBorders>
            <w:shd w:val="clear" w:color="auto" w:fill="auto"/>
            <w:vAlign w:val="center"/>
            <w:hideMark/>
          </w:tcPr>
          <w:p w14:paraId="173260E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88</w:t>
            </w:r>
          </w:p>
        </w:tc>
        <w:tc>
          <w:tcPr>
            <w:tcW w:w="1036" w:type="dxa"/>
            <w:tcBorders>
              <w:top w:val="nil"/>
              <w:left w:val="nil"/>
              <w:bottom w:val="single" w:sz="4" w:space="0" w:color="auto"/>
              <w:right w:val="single" w:sz="4" w:space="0" w:color="auto"/>
            </w:tcBorders>
            <w:shd w:val="clear" w:color="auto" w:fill="auto"/>
            <w:vAlign w:val="center"/>
            <w:hideMark/>
          </w:tcPr>
          <w:p w14:paraId="02BBC31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96%</w:t>
            </w:r>
          </w:p>
        </w:tc>
        <w:tc>
          <w:tcPr>
            <w:tcW w:w="1105" w:type="dxa"/>
            <w:tcBorders>
              <w:top w:val="nil"/>
              <w:left w:val="nil"/>
              <w:bottom w:val="single" w:sz="4" w:space="0" w:color="auto"/>
              <w:right w:val="single" w:sz="4" w:space="0" w:color="auto"/>
            </w:tcBorders>
            <w:shd w:val="clear" w:color="auto" w:fill="auto"/>
            <w:vAlign w:val="center"/>
            <w:hideMark/>
          </w:tcPr>
          <w:p w14:paraId="78387FB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87</w:t>
            </w:r>
          </w:p>
        </w:tc>
        <w:tc>
          <w:tcPr>
            <w:tcW w:w="1036" w:type="dxa"/>
            <w:tcBorders>
              <w:top w:val="nil"/>
              <w:left w:val="nil"/>
              <w:bottom w:val="single" w:sz="4" w:space="0" w:color="auto"/>
              <w:right w:val="single" w:sz="4" w:space="0" w:color="auto"/>
            </w:tcBorders>
            <w:shd w:val="clear" w:color="auto" w:fill="auto"/>
            <w:vAlign w:val="center"/>
            <w:hideMark/>
          </w:tcPr>
          <w:p w14:paraId="2A89071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95%</w:t>
            </w:r>
          </w:p>
        </w:tc>
        <w:tc>
          <w:tcPr>
            <w:tcW w:w="1105" w:type="dxa"/>
            <w:tcBorders>
              <w:top w:val="nil"/>
              <w:left w:val="nil"/>
              <w:bottom w:val="single" w:sz="4" w:space="0" w:color="auto"/>
              <w:right w:val="single" w:sz="4" w:space="0" w:color="auto"/>
            </w:tcBorders>
            <w:shd w:val="clear" w:color="auto" w:fill="auto"/>
            <w:vAlign w:val="center"/>
            <w:hideMark/>
          </w:tcPr>
          <w:p w14:paraId="65E3071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85</w:t>
            </w:r>
          </w:p>
        </w:tc>
        <w:tc>
          <w:tcPr>
            <w:tcW w:w="1065" w:type="dxa"/>
            <w:tcBorders>
              <w:top w:val="nil"/>
              <w:left w:val="nil"/>
              <w:bottom w:val="single" w:sz="4" w:space="0" w:color="auto"/>
              <w:right w:val="single" w:sz="4" w:space="0" w:color="auto"/>
            </w:tcBorders>
            <w:shd w:val="clear" w:color="auto" w:fill="auto"/>
            <w:vAlign w:val="center"/>
            <w:hideMark/>
          </w:tcPr>
          <w:p w14:paraId="51945E4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92%</w:t>
            </w:r>
          </w:p>
        </w:tc>
      </w:tr>
      <w:tr w:rsidR="00BE2FC6" w:rsidRPr="00BE2FC6" w14:paraId="1EC33568"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B0235FF"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Wyoming Internal Controls Training</w:t>
            </w:r>
          </w:p>
        </w:tc>
        <w:tc>
          <w:tcPr>
            <w:tcW w:w="1320" w:type="dxa"/>
            <w:tcBorders>
              <w:top w:val="nil"/>
              <w:left w:val="nil"/>
              <w:bottom w:val="single" w:sz="4" w:space="0" w:color="auto"/>
              <w:right w:val="single" w:sz="4" w:space="0" w:color="auto"/>
            </w:tcBorders>
            <w:shd w:val="clear" w:color="auto" w:fill="auto"/>
            <w:vAlign w:val="center"/>
            <w:hideMark/>
          </w:tcPr>
          <w:p w14:paraId="5EDE5D2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w:t>
            </w:r>
          </w:p>
        </w:tc>
        <w:tc>
          <w:tcPr>
            <w:tcW w:w="1036" w:type="dxa"/>
            <w:tcBorders>
              <w:top w:val="nil"/>
              <w:left w:val="nil"/>
              <w:bottom w:val="single" w:sz="4" w:space="0" w:color="auto"/>
              <w:right w:val="single" w:sz="4" w:space="0" w:color="auto"/>
            </w:tcBorders>
            <w:shd w:val="clear" w:color="auto" w:fill="auto"/>
            <w:vAlign w:val="center"/>
            <w:hideMark/>
          </w:tcPr>
          <w:p w14:paraId="13A8F2D2"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53781E9B"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w:t>
            </w:r>
          </w:p>
        </w:tc>
        <w:tc>
          <w:tcPr>
            <w:tcW w:w="1036" w:type="dxa"/>
            <w:tcBorders>
              <w:top w:val="nil"/>
              <w:left w:val="nil"/>
              <w:bottom w:val="single" w:sz="4" w:space="0" w:color="auto"/>
              <w:right w:val="single" w:sz="4" w:space="0" w:color="auto"/>
            </w:tcBorders>
            <w:shd w:val="clear" w:color="auto" w:fill="auto"/>
            <w:vAlign w:val="center"/>
            <w:hideMark/>
          </w:tcPr>
          <w:p w14:paraId="423B029D"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6CE026D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w:t>
            </w:r>
          </w:p>
        </w:tc>
        <w:tc>
          <w:tcPr>
            <w:tcW w:w="1065" w:type="dxa"/>
            <w:tcBorders>
              <w:top w:val="nil"/>
              <w:left w:val="nil"/>
              <w:bottom w:val="single" w:sz="4" w:space="0" w:color="auto"/>
              <w:right w:val="single" w:sz="4" w:space="0" w:color="auto"/>
            </w:tcBorders>
            <w:shd w:val="clear" w:color="auto" w:fill="auto"/>
            <w:vAlign w:val="center"/>
            <w:hideMark/>
          </w:tcPr>
          <w:p w14:paraId="6E3FC05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r>
      <w:tr w:rsidR="00BE2FC6" w:rsidRPr="00BE2FC6" w14:paraId="5592E195"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1E4A23C"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lastRenderedPageBreak/>
              <w:t>Wyoming Eligibility Training</w:t>
            </w:r>
          </w:p>
        </w:tc>
        <w:tc>
          <w:tcPr>
            <w:tcW w:w="1320" w:type="dxa"/>
            <w:tcBorders>
              <w:top w:val="nil"/>
              <w:left w:val="nil"/>
              <w:bottom w:val="single" w:sz="4" w:space="0" w:color="auto"/>
              <w:right w:val="single" w:sz="4" w:space="0" w:color="auto"/>
            </w:tcBorders>
            <w:shd w:val="clear" w:color="auto" w:fill="auto"/>
            <w:vAlign w:val="center"/>
            <w:hideMark/>
          </w:tcPr>
          <w:p w14:paraId="7B30AE43"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12</w:t>
            </w:r>
          </w:p>
        </w:tc>
        <w:tc>
          <w:tcPr>
            <w:tcW w:w="1036" w:type="dxa"/>
            <w:tcBorders>
              <w:top w:val="nil"/>
              <w:left w:val="nil"/>
              <w:bottom w:val="single" w:sz="4" w:space="0" w:color="auto"/>
              <w:right w:val="single" w:sz="4" w:space="0" w:color="auto"/>
            </w:tcBorders>
            <w:shd w:val="clear" w:color="auto" w:fill="auto"/>
            <w:vAlign w:val="center"/>
            <w:hideMark/>
          </w:tcPr>
          <w:p w14:paraId="159A31B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92%</w:t>
            </w:r>
          </w:p>
        </w:tc>
        <w:tc>
          <w:tcPr>
            <w:tcW w:w="1105" w:type="dxa"/>
            <w:tcBorders>
              <w:top w:val="nil"/>
              <w:left w:val="nil"/>
              <w:bottom w:val="single" w:sz="4" w:space="0" w:color="auto"/>
              <w:right w:val="single" w:sz="4" w:space="0" w:color="auto"/>
            </w:tcBorders>
            <w:shd w:val="clear" w:color="auto" w:fill="auto"/>
            <w:vAlign w:val="center"/>
            <w:hideMark/>
          </w:tcPr>
          <w:p w14:paraId="5771BFD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12</w:t>
            </w:r>
          </w:p>
        </w:tc>
        <w:tc>
          <w:tcPr>
            <w:tcW w:w="1036" w:type="dxa"/>
            <w:tcBorders>
              <w:top w:val="nil"/>
              <w:left w:val="nil"/>
              <w:bottom w:val="single" w:sz="4" w:space="0" w:color="auto"/>
              <w:right w:val="single" w:sz="4" w:space="0" w:color="auto"/>
            </w:tcBorders>
            <w:shd w:val="clear" w:color="auto" w:fill="auto"/>
            <w:vAlign w:val="center"/>
            <w:hideMark/>
          </w:tcPr>
          <w:p w14:paraId="41D9D288"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92%</w:t>
            </w:r>
          </w:p>
        </w:tc>
        <w:tc>
          <w:tcPr>
            <w:tcW w:w="1105" w:type="dxa"/>
            <w:tcBorders>
              <w:top w:val="nil"/>
              <w:left w:val="nil"/>
              <w:bottom w:val="single" w:sz="4" w:space="0" w:color="auto"/>
              <w:right w:val="single" w:sz="4" w:space="0" w:color="auto"/>
            </w:tcBorders>
            <w:shd w:val="clear" w:color="auto" w:fill="auto"/>
            <w:vAlign w:val="center"/>
            <w:hideMark/>
          </w:tcPr>
          <w:p w14:paraId="5C6E780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11</w:t>
            </w:r>
          </w:p>
        </w:tc>
        <w:tc>
          <w:tcPr>
            <w:tcW w:w="1065" w:type="dxa"/>
            <w:tcBorders>
              <w:top w:val="nil"/>
              <w:left w:val="nil"/>
              <w:bottom w:val="single" w:sz="4" w:space="0" w:color="auto"/>
              <w:right w:val="single" w:sz="4" w:space="0" w:color="auto"/>
            </w:tcBorders>
            <w:shd w:val="clear" w:color="auto" w:fill="auto"/>
            <w:vAlign w:val="center"/>
            <w:hideMark/>
          </w:tcPr>
          <w:p w14:paraId="1500AA53"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85%</w:t>
            </w:r>
          </w:p>
        </w:tc>
      </w:tr>
      <w:tr w:rsidR="00BE2FC6" w:rsidRPr="00BE2FC6" w14:paraId="29F3D081"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EE4EA24"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Wyoming IPE Training</w:t>
            </w:r>
          </w:p>
        </w:tc>
        <w:tc>
          <w:tcPr>
            <w:tcW w:w="1320" w:type="dxa"/>
            <w:tcBorders>
              <w:top w:val="nil"/>
              <w:left w:val="nil"/>
              <w:bottom w:val="single" w:sz="4" w:space="0" w:color="auto"/>
              <w:right w:val="single" w:sz="4" w:space="0" w:color="auto"/>
            </w:tcBorders>
            <w:shd w:val="clear" w:color="auto" w:fill="auto"/>
            <w:vAlign w:val="center"/>
            <w:hideMark/>
          </w:tcPr>
          <w:p w14:paraId="2EF75F3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w:t>
            </w:r>
          </w:p>
        </w:tc>
        <w:tc>
          <w:tcPr>
            <w:tcW w:w="1036" w:type="dxa"/>
            <w:tcBorders>
              <w:top w:val="nil"/>
              <w:left w:val="nil"/>
              <w:bottom w:val="single" w:sz="4" w:space="0" w:color="auto"/>
              <w:right w:val="single" w:sz="4" w:space="0" w:color="auto"/>
            </w:tcBorders>
            <w:shd w:val="clear" w:color="auto" w:fill="auto"/>
            <w:vAlign w:val="center"/>
            <w:hideMark/>
          </w:tcPr>
          <w:p w14:paraId="630B94D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4E5B0015"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w:t>
            </w:r>
          </w:p>
        </w:tc>
        <w:tc>
          <w:tcPr>
            <w:tcW w:w="1036" w:type="dxa"/>
            <w:tcBorders>
              <w:top w:val="nil"/>
              <w:left w:val="nil"/>
              <w:bottom w:val="single" w:sz="4" w:space="0" w:color="auto"/>
              <w:right w:val="single" w:sz="4" w:space="0" w:color="auto"/>
            </w:tcBorders>
            <w:shd w:val="clear" w:color="auto" w:fill="auto"/>
            <w:vAlign w:val="center"/>
            <w:hideMark/>
          </w:tcPr>
          <w:p w14:paraId="141F1400"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074F0CD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w:t>
            </w:r>
          </w:p>
        </w:tc>
        <w:tc>
          <w:tcPr>
            <w:tcW w:w="1065" w:type="dxa"/>
            <w:tcBorders>
              <w:top w:val="nil"/>
              <w:left w:val="nil"/>
              <w:bottom w:val="single" w:sz="4" w:space="0" w:color="auto"/>
              <w:right w:val="single" w:sz="4" w:space="0" w:color="auto"/>
            </w:tcBorders>
            <w:shd w:val="clear" w:color="auto" w:fill="auto"/>
            <w:vAlign w:val="center"/>
            <w:hideMark/>
          </w:tcPr>
          <w:p w14:paraId="7EAC102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80%</w:t>
            </w:r>
          </w:p>
        </w:tc>
      </w:tr>
      <w:tr w:rsidR="00BE2FC6" w:rsidRPr="00BE2FC6" w14:paraId="31A90A79"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992AAED"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7 Secrets of Remote Supervision</w:t>
            </w:r>
          </w:p>
        </w:tc>
        <w:tc>
          <w:tcPr>
            <w:tcW w:w="1320" w:type="dxa"/>
            <w:tcBorders>
              <w:top w:val="nil"/>
              <w:left w:val="nil"/>
              <w:bottom w:val="single" w:sz="4" w:space="0" w:color="auto"/>
              <w:right w:val="single" w:sz="4" w:space="0" w:color="auto"/>
            </w:tcBorders>
            <w:shd w:val="clear" w:color="auto" w:fill="auto"/>
            <w:vAlign w:val="center"/>
            <w:hideMark/>
          </w:tcPr>
          <w:p w14:paraId="5AB3F33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156</w:t>
            </w:r>
          </w:p>
        </w:tc>
        <w:tc>
          <w:tcPr>
            <w:tcW w:w="1036" w:type="dxa"/>
            <w:tcBorders>
              <w:top w:val="nil"/>
              <w:left w:val="nil"/>
              <w:bottom w:val="single" w:sz="4" w:space="0" w:color="auto"/>
              <w:right w:val="single" w:sz="4" w:space="0" w:color="auto"/>
            </w:tcBorders>
            <w:shd w:val="clear" w:color="auto" w:fill="auto"/>
            <w:vAlign w:val="center"/>
            <w:hideMark/>
          </w:tcPr>
          <w:p w14:paraId="4485F91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98%</w:t>
            </w:r>
          </w:p>
        </w:tc>
        <w:tc>
          <w:tcPr>
            <w:tcW w:w="1105" w:type="dxa"/>
            <w:tcBorders>
              <w:top w:val="nil"/>
              <w:left w:val="nil"/>
              <w:bottom w:val="single" w:sz="4" w:space="0" w:color="auto"/>
              <w:right w:val="single" w:sz="4" w:space="0" w:color="auto"/>
            </w:tcBorders>
            <w:shd w:val="clear" w:color="auto" w:fill="auto"/>
            <w:vAlign w:val="center"/>
            <w:hideMark/>
          </w:tcPr>
          <w:p w14:paraId="62B0DF95"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158</w:t>
            </w:r>
          </w:p>
        </w:tc>
        <w:tc>
          <w:tcPr>
            <w:tcW w:w="1036" w:type="dxa"/>
            <w:tcBorders>
              <w:top w:val="nil"/>
              <w:left w:val="nil"/>
              <w:bottom w:val="single" w:sz="4" w:space="0" w:color="auto"/>
              <w:right w:val="single" w:sz="4" w:space="0" w:color="auto"/>
            </w:tcBorders>
            <w:shd w:val="clear" w:color="auto" w:fill="auto"/>
            <w:vAlign w:val="center"/>
            <w:hideMark/>
          </w:tcPr>
          <w:p w14:paraId="367E523D"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2725B25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156</w:t>
            </w:r>
          </w:p>
        </w:tc>
        <w:tc>
          <w:tcPr>
            <w:tcW w:w="1065" w:type="dxa"/>
            <w:tcBorders>
              <w:top w:val="nil"/>
              <w:left w:val="nil"/>
              <w:bottom w:val="single" w:sz="4" w:space="0" w:color="auto"/>
              <w:right w:val="single" w:sz="4" w:space="0" w:color="auto"/>
            </w:tcBorders>
            <w:shd w:val="clear" w:color="auto" w:fill="auto"/>
            <w:vAlign w:val="center"/>
            <w:hideMark/>
          </w:tcPr>
          <w:p w14:paraId="6C37BF0B"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r>
      <w:tr w:rsidR="00BE2FC6" w:rsidRPr="00BE2FC6" w14:paraId="470897E1"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D039900"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Wyoming Diversity Training</w:t>
            </w:r>
          </w:p>
        </w:tc>
        <w:tc>
          <w:tcPr>
            <w:tcW w:w="1320" w:type="dxa"/>
            <w:tcBorders>
              <w:top w:val="nil"/>
              <w:left w:val="nil"/>
              <w:bottom w:val="single" w:sz="4" w:space="0" w:color="auto"/>
              <w:right w:val="single" w:sz="4" w:space="0" w:color="auto"/>
            </w:tcBorders>
            <w:shd w:val="clear" w:color="auto" w:fill="auto"/>
            <w:vAlign w:val="center"/>
            <w:hideMark/>
          </w:tcPr>
          <w:p w14:paraId="4E11750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14</w:t>
            </w:r>
          </w:p>
        </w:tc>
        <w:tc>
          <w:tcPr>
            <w:tcW w:w="1036" w:type="dxa"/>
            <w:tcBorders>
              <w:top w:val="nil"/>
              <w:left w:val="nil"/>
              <w:bottom w:val="single" w:sz="4" w:space="0" w:color="auto"/>
              <w:right w:val="single" w:sz="4" w:space="0" w:color="auto"/>
            </w:tcBorders>
            <w:shd w:val="clear" w:color="auto" w:fill="auto"/>
            <w:vAlign w:val="center"/>
            <w:hideMark/>
          </w:tcPr>
          <w:p w14:paraId="0EC4950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78%</w:t>
            </w:r>
          </w:p>
        </w:tc>
        <w:tc>
          <w:tcPr>
            <w:tcW w:w="1105" w:type="dxa"/>
            <w:tcBorders>
              <w:top w:val="nil"/>
              <w:left w:val="nil"/>
              <w:bottom w:val="single" w:sz="4" w:space="0" w:color="auto"/>
              <w:right w:val="single" w:sz="4" w:space="0" w:color="auto"/>
            </w:tcBorders>
            <w:shd w:val="clear" w:color="auto" w:fill="auto"/>
            <w:vAlign w:val="center"/>
            <w:hideMark/>
          </w:tcPr>
          <w:p w14:paraId="2696A39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16</w:t>
            </w:r>
          </w:p>
        </w:tc>
        <w:tc>
          <w:tcPr>
            <w:tcW w:w="1036" w:type="dxa"/>
            <w:tcBorders>
              <w:top w:val="nil"/>
              <w:left w:val="nil"/>
              <w:bottom w:val="single" w:sz="4" w:space="0" w:color="auto"/>
              <w:right w:val="single" w:sz="4" w:space="0" w:color="auto"/>
            </w:tcBorders>
            <w:shd w:val="clear" w:color="auto" w:fill="auto"/>
            <w:vAlign w:val="center"/>
            <w:hideMark/>
          </w:tcPr>
          <w:p w14:paraId="7C0F5EA0"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89%</w:t>
            </w:r>
          </w:p>
        </w:tc>
        <w:tc>
          <w:tcPr>
            <w:tcW w:w="1105" w:type="dxa"/>
            <w:tcBorders>
              <w:top w:val="nil"/>
              <w:left w:val="nil"/>
              <w:bottom w:val="single" w:sz="4" w:space="0" w:color="auto"/>
              <w:right w:val="single" w:sz="4" w:space="0" w:color="auto"/>
            </w:tcBorders>
            <w:shd w:val="clear" w:color="auto" w:fill="auto"/>
            <w:vAlign w:val="center"/>
            <w:hideMark/>
          </w:tcPr>
          <w:p w14:paraId="74AE20D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16</w:t>
            </w:r>
          </w:p>
        </w:tc>
        <w:tc>
          <w:tcPr>
            <w:tcW w:w="1065" w:type="dxa"/>
            <w:tcBorders>
              <w:top w:val="nil"/>
              <w:left w:val="nil"/>
              <w:bottom w:val="single" w:sz="4" w:space="0" w:color="auto"/>
              <w:right w:val="single" w:sz="4" w:space="0" w:color="auto"/>
            </w:tcBorders>
            <w:shd w:val="clear" w:color="auto" w:fill="auto"/>
            <w:vAlign w:val="center"/>
            <w:hideMark/>
          </w:tcPr>
          <w:p w14:paraId="572F276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89%</w:t>
            </w:r>
          </w:p>
        </w:tc>
      </w:tr>
      <w:tr w:rsidR="00BE2FC6" w:rsidRPr="00BE2FC6" w14:paraId="311A3715"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FB76250"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California Ethical Boundaries Training</w:t>
            </w:r>
          </w:p>
        </w:tc>
        <w:tc>
          <w:tcPr>
            <w:tcW w:w="1320" w:type="dxa"/>
            <w:tcBorders>
              <w:top w:val="nil"/>
              <w:left w:val="nil"/>
              <w:bottom w:val="single" w:sz="4" w:space="0" w:color="auto"/>
              <w:right w:val="single" w:sz="4" w:space="0" w:color="auto"/>
            </w:tcBorders>
            <w:shd w:val="clear" w:color="auto" w:fill="auto"/>
            <w:vAlign w:val="center"/>
            <w:hideMark/>
          </w:tcPr>
          <w:p w14:paraId="29436D28"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35</w:t>
            </w:r>
          </w:p>
        </w:tc>
        <w:tc>
          <w:tcPr>
            <w:tcW w:w="1036" w:type="dxa"/>
            <w:tcBorders>
              <w:top w:val="nil"/>
              <w:left w:val="nil"/>
              <w:bottom w:val="single" w:sz="4" w:space="0" w:color="auto"/>
              <w:right w:val="single" w:sz="4" w:space="0" w:color="auto"/>
            </w:tcBorders>
            <w:shd w:val="clear" w:color="auto" w:fill="auto"/>
            <w:vAlign w:val="center"/>
            <w:hideMark/>
          </w:tcPr>
          <w:p w14:paraId="1ABF660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3BBB0EB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35</w:t>
            </w:r>
          </w:p>
        </w:tc>
        <w:tc>
          <w:tcPr>
            <w:tcW w:w="1036" w:type="dxa"/>
            <w:tcBorders>
              <w:top w:val="nil"/>
              <w:left w:val="nil"/>
              <w:bottom w:val="single" w:sz="4" w:space="0" w:color="auto"/>
              <w:right w:val="single" w:sz="4" w:space="0" w:color="auto"/>
            </w:tcBorders>
            <w:shd w:val="clear" w:color="auto" w:fill="auto"/>
            <w:vAlign w:val="center"/>
            <w:hideMark/>
          </w:tcPr>
          <w:p w14:paraId="12303DFA"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c>
          <w:tcPr>
            <w:tcW w:w="1105" w:type="dxa"/>
            <w:tcBorders>
              <w:top w:val="nil"/>
              <w:left w:val="nil"/>
              <w:bottom w:val="single" w:sz="4" w:space="0" w:color="auto"/>
              <w:right w:val="single" w:sz="4" w:space="0" w:color="auto"/>
            </w:tcBorders>
            <w:shd w:val="clear" w:color="auto" w:fill="auto"/>
            <w:vAlign w:val="center"/>
            <w:hideMark/>
          </w:tcPr>
          <w:p w14:paraId="5FC65BD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35</w:t>
            </w:r>
          </w:p>
        </w:tc>
        <w:tc>
          <w:tcPr>
            <w:tcW w:w="1065" w:type="dxa"/>
            <w:tcBorders>
              <w:top w:val="nil"/>
              <w:left w:val="nil"/>
              <w:bottom w:val="single" w:sz="4" w:space="0" w:color="auto"/>
              <w:right w:val="single" w:sz="4" w:space="0" w:color="auto"/>
            </w:tcBorders>
            <w:shd w:val="clear" w:color="auto" w:fill="auto"/>
            <w:vAlign w:val="center"/>
            <w:hideMark/>
          </w:tcPr>
          <w:p w14:paraId="57BE0D89"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100%</w:t>
            </w:r>
          </w:p>
        </w:tc>
      </w:tr>
      <w:tr w:rsidR="00BE2FC6" w:rsidRPr="00BE2FC6" w14:paraId="240A3BB7" w14:textId="77777777" w:rsidTr="00BE2FC6">
        <w:trPr>
          <w:trHeight w:val="931"/>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5BFF333"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Florida General Advancing in Employment Eligibility Determinations</w:t>
            </w:r>
          </w:p>
        </w:tc>
        <w:tc>
          <w:tcPr>
            <w:tcW w:w="1320" w:type="dxa"/>
            <w:tcBorders>
              <w:top w:val="nil"/>
              <w:left w:val="nil"/>
              <w:bottom w:val="single" w:sz="4" w:space="0" w:color="auto"/>
              <w:right w:val="single" w:sz="4" w:space="0" w:color="auto"/>
            </w:tcBorders>
            <w:shd w:val="clear" w:color="auto" w:fill="auto"/>
            <w:vAlign w:val="center"/>
            <w:hideMark/>
          </w:tcPr>
          <w:p w14:paraId="3FE1CBCF"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231</w:t>
            </w:r>
          </w:p>
        </w:tc>
        <w:tc>
          <w:tcPr>
            <w:tcW w:w="1036" w:type="dxa"/>
            <w:tcBorders>
              <w:top w:val="nil"/>
              <w:left w:val="nil"/>
              <w:bottom w:val="single" w:sz="4" w:space="0" w:color="auto"/>
              <w:right w:val="single" w:sz="4" w:space="0" w:color="auto"/>
            </w:tcBorders>
            <w:shd w:val="clear" w:color="auto" w:fill="auto"/>
            <w:vAlign w:val="center"/>
            <w:hideMark/>
          </w:tcPr>
          <w:p w14:paraId="5454ADB3"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94%</w:t>
            </w:r>
          </w:p>
        </w:tc>
        <w:tc>
          <w:tcPr>
            <w:tcW w:w="1105" w:type="dxa"/>
            <w:tcBorders>
              <w:top w:val="nil"/>
              <w:left w:val="nil"/>
              <w:bottom w:val="single" w:sz="4" w:space="0" w:color="auto"/>
              <w:right w:val="single" w:sz="4" w:space="0" w:color="auto"/>
            </w:tcBorders>
            <w:shd w:val="clear" w:color="auto" w:fill="auto"/>
            <w:vAlign w:val="center"/>
            <w:hideMark/>
          </w:tcPr>
          <w:p w14:paraId="4F987C46"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231</w:t>
            </w:r>
          </w:p>
        </w:tc>
        <w:tc>
          <w:tcPr>
            <w:tcW w:w="1036" w:type="dxa"/>
            <w:tcBorders>
              <w:top w:val="nil"/>
              <w:left w:val="nil"/>
              <w:bottom w:val="single" w:sz="4" w:space="0" w:color="auto"/>
              <w:right w:val="single" w:sz="4" w:space="0" w:color="auto"/>
            </w:tcBorders>
            <w:shd w:val="clear" w:color="auto" w:fill="auto"/>
            <w:vAlign w:val="center"/>
            <w:hideMark/>
          </w:tcPr>
          <w:p w14:paraId="27E477E0"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94%</w:t>
            </w:r>
          </w:p>
        </w:tc>
        <w:tc>
          <w:tcPr>
            <w:tcW w:w="1105" w:type="dxa"/>
            <w:tcBorders>
              <w:top w:val="nil"/>
              <w:left w:val="nil"/>
              <w:bottom w:val="single" w:sz="4" w:space="0" w:color="auto"/>
              <w:right w:val="single" w:sz="4" w:space="0" w:color="auto"/>
            </w:tcBorders>
            <w:shd w:val="clear" w:color="auto" w:fill="auto"/>
            <w:vAlign w:val="center"/>
            <w:hideMark/>
          </w:tcPr>
          <w:p w14:paraId="02D79C2D"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231</w:t>
            </w:r>
          </w:p>
        </w:tc>
        <w:tc>
          <w:tcPr>
            <w:tcW w:w="1065" w:type="dxa"/>
            <w:tcBorders>
              <w:top w:val="nil"/>
              <w:left w:val="nil"/>
              <w:bottom w:val="single" w:sz="4" w:space="0" w:color="auto"/>
              <w:right w:val="single" w:sz="4" w:space="0" w:color="auto"/>
            </w:tcBorders>
            <w:shd w:val="clear" w:color="auto" w:fill="auto"/>
            <w:vAlign w:val="center"/>
            <w:hideMark/>
          </w:tcPr>
          <w:p w14:paraId="248F2EFC"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94%</w:t>
            </w:r>
          </w:p>
        </w:tc>
      </w:tr>
      <w:tr w:rsidR="00BE2FC6" w:rsidRPr="00BE2FC6" w14:paraId="3A7074F7" w14:textId="77777777" w:rsidTr="00BE2FC6">
        <w:trPr>
          <w:trHeight w:val="6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7A18E82" w14:textId="77777777" w:rsidR="00BE2FC6" w:rsidRPr="00BE2FC6" w:rsidRDefault="00BE2FC6" w:rsidP="00BE2FC6">
            <w:pPr>
              <w:spacing w:after="0" w:line="240" w:lineRule="auto"/>
              <w:rPr>
                <w:rFonts w:eastAsia="Times New Roman"/>
                <w:color w:val="000000"/>
              </w:rPr>
            </w:pPr>
            <w:r w:rsidRPr="00BE2FC6">
              <w:rPr>
                <w:rFonts w:eastAsia="Times New Roman"/>
                <w:color w:val="000000"/>
              </w:rPr>
              <w:t>California Effective Case Management</w:t>
            </w:r>
          </w:p>
        </w:tc>
        <w:tc>
          <w:tcPr>
            <w:tcW w:w="1320" w:type="dxa"/>
            <w:tcBorders>
              <w:top w:val="nil"/>
              <w:left w:val="nil"/>
              <w:bottom w:val="single" w:sz="4" w:space="0" w:color="auto"/>
              <w:right w:val="single" w:sz="4" w:space="0" w:color="auto"/>
            </w:tcBorders>
            <w:shd w:val="clear" w:color="auto" w:fill="auto"/>
            <w:vAlign w:val="center"/>
            <w:hideMark/>
          </w:tcPr>
          <w:p w14:paraId="4BE4DF74"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23</w:t>
            </w:r>
          </w:p>
        </w:tc>
        <w:tc>
          <w:tcPr>
            <w:tcW w:w="1036" w:type="dxa"/>
            <w:tcBorders>
              <w:top w:val="nil"/>
              <w:left w:val="nil"/>
              <w:bottom w:val="single" w:sz="4" w:space="0" w:color="auto"/>
              <w:right w:val="single" w:sz="4" w:space="0" w:color="auto"/>
            </w:tcBorders>
            <w:shd w:val="clear" w:color="auto" w:fill="auto"/>
            <w:vAlign w:val="center"/>
            <w:hideMark/>
          </w:tcPr>
          <w:p w14:paraId="265D30E5"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79%</w:t>
            </w:r>
          </w:p>
        </w:tc>
        <w:tc>
          <w:tcPr>
            <w:tcW w:w="1105" w:type="dxa"/>
            <w:tcBorders>
              <w:top w:val="nil"/>
              <w:left w:val="nil"/>
              <w:bottom w:val="single" w:sz="4" w:space="0" w:color="auto"/>
              <w:right w:val="single" w:sz="4" w:space="0" w:color="auto"/>
            </w:tcBorders>
            <w:shd w:val="clear" w:color="auto" w:fill="auto"/>
            <w:vAlign w:val="center"/>
            <w:hideMark/>
          </w:tcPr>
          <w:p w14:paraId="60298D2B"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26</w:t>
            </w:r>
          </w:p>
        </w:tc>
        <w:tc>
          <w:tcPr>
            <w:tcW w:w="1036" w:type="dxa"/>
            <w:tcBorders>
              <w:top w:val="nil"/>
              <w:left w:val="nil"/>
              <w:bottom w:val="single" w:sz="4" w:space="0" w:color="auto"/>
              <w:right w:val="single" w:sz="4" w:space="0" w:color="auto"/>
            </w:tcBorders>
            <w:shd w:val="clear" w:color="auto" w:fill="auto"/>
            <w:vAlign w:val="center"/>
            <w:hideMark/>
          </w:tcPr>
          <w:p w14:paraId="35198B81"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90%</w:t>
            </w:r>
          </w:p>
        </w:tc>
        <w:tc>
          <w:tcPr>
            <w:tcW w:w="1105" w:type="dxa"/>
            <w:tcBorders>
              <w:top w:val="nil"/>
              <w:left w:val="nil"/>
              <w:bottom w:val="single" w:sz="4" w:space="0" w:color="auto"/>
              <w:right w:val="single" w:sz="4" w:space="0" w:color="auto"/>
            </w:tcBorders>
            <w:shd w:val="clear" w:color="auto" w:fill="auto"/>
            <w:vAlign w:val="center"/>
            <w:hideMark/>
          </w:tcPr>
          <w:p w14:paraId="3009A862"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26</w:t>
            </w:r>
          </w:p>
        </w:tc>
        <w:tc>
          <w:tcPr>
            <w:tcW w:w="1065" w:type="dxa"/>
            <w:tcBorders>
              <w:top w:val="nil"/>
              <w:left w:val="nil"/>
              <w:bottom w:val="single" w:sz="4" w:space="0" w:color="auto"/>
              <w:right w:val="single" w:sz="4" w:space="0" w:color="auto"/>
            </w:tcBorders>
            <w:shd w:val="clear" w:color="auto" w:fill="auto"/>
            <w:vAlign w:val="center"/>
            <w:hideMark/>
          </w:tcPr>
          <w:p w14:paraId="7D8D8D3E" w14:textId="77777777" w:rsidR="00BE2FC6" w:rsidRPr="00BE2FC6" w:rsidRDefault="00BE2FC6" w:rsidP="00BE2FC6">
            <w:pPr>
              <w:spacing w:after="0" w:line="240" w:lineRule="auto"/>
              <w:jc w:val="right"/>
              <w:rPr>
                <w:rFonts w:eastAsia="Times New Roman"/>
                <w:color w:val="000000"/>
              </w:rPr>
            </w:pPr>
            <w:r w:rsidRPr="00BE2FC6">
              <w:rPr>
                <w:rFonts w:eastAsia="Times New Roman"/>
                <w:color w:val="000000"/>
              </w:rPr>
              <w:t>90%</w:t>
            </w:r>
          </w:p>
        </w:tc>
      </w:tr>
      <w:tr w:rsidR="00BE2FC6" w:rsidRPr="00BE2FC6" w14:paraId="463F1013" w14:textId="77777777" w:rsidTr="00BE2FC6">
        <w:trPr>
          <w:trHeight w:val="3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74401DF"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Totals</w:t>
            </w:r>
          </w:p>
        </w:tc>
        <w:tc>
          <w:tcPr>
            <w:tcW w:w="1320" w:type="dxa"/>
            <w:tcBorders>
              <w:top w:val="nil"/>
              <w:left w:val="nil"/>
              <w:bottom w:val="single" w:sz="4" w:space="0" w:color="auto"/>
              <w:right w:val="single" w:sz="4" w:space="0" w:color="auto"/>
            </w:tcBorders>
            <w:shd w:val="clear" w:color="auto" w:fill="auto"/>
            <w:vAlign w:val="center"/>
            <w:hideMark/>
          </w:tcPr>
          <w:p w14:paraId="57088F31"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695</w:t>
            </w:r>
          </w:p>
        </w:tc>
        <w:tc>
          <w:tcPr>
            <w:tcW w:w="1036" w:type="dxa"/>
            <w:tcBorders>
              <w:top w:val="nil"/>
              <w:left w:val="nil"/>
              <w:bottom w:val="single" w:sz="4" w:space="0" w:color="auto"/>
              <w:right w:val="single" w:sz="4" w:space="0" w:color="auto"/>
            </w:tcBorders>
            <w:shd w:val="clear" w:color="auto" w:fill="auto"/>
            <w:vAlign w:val="center"/>
            <w:hideMark/>
          </w:tcPr>
          <w:p w14:paraId="7E6A3A11"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96%</w:t>
            </w:r>
          </w:p>
        </w:tc>
        <w:tc>
          <w:tcPr>
            <w:tcW w:w="1105" w:type="dxa"/>
            <w:tcBorders>
              <w:top w:val="nil"/>
              <w:left w:val="nil"/>
              <w:bottom w:val="single" w:sz="4" w:space="0" w:color="auto"/>
              <w:right w:val="single" w:sz="4" w:space="0" w:color="auto"/>
            </w:tcBorders>
            <w:shd w:val="clear" w:color="auto" w:fill="auto"/>
            <w:vAlign w:val="center"/>
            <w:hideMark/>
          </w:tcPr>
          <w:p w14:paraId="4C429443"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701</w:t>
            </w:r>
          </w:p>
        </w:tc>
        <w:tc>
          <w:tcPr>
            <w:tcW w:w="1036" w:type="dxa"/>
            <w:tcBorders>
              <w:top w:val="nil"/>
              <w:left w:val="nil"/>
              <w:bottom w:val="single" w:sz="4" w:space="0" w:color="auto"/>
              <w:right w:val="single" w:sz="4" w:space="0" w:color="auto"/>
            </w:tcBorders>
            <w:shd w:val="clear" w:color="auto" w:fill="auto"/>
            <w:vAlign w:val="center"/>
            <w:hideMark/>
          </w:tcPr>
          <w:p w14:paraId="313EB25F"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97%</w:t>
            </w:r>
          </w:p>
        </w:tc>
        <w:tc>
          <w:tcPr>
            <w:tcW w:w="1105" w:type="dxa"/>
            <w:tcBorders>
              <w:top w:val="nil"/>
              <w:left w:val="nil"/>
              <w:bottom w:val="single" w:sz="4" w:space="0" w:color="auto"/>
              <w:right w:val="single" w:sz="4" w:space="0" w:color="auto"/>
            </w:tcBorders>
            <w:shd w:val="clear" w:color="auto" w:fill="auto"/>
            <w:vAlign w:val="center"/>
            <w:hideMark/>
          </w:tcPr>
          <w:p w14:paraId="4D4DACCB"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694</w:t>
            </w:r>
          </w:p>
        </w:tc>
        <w:tc>
          <w:tcPr>
            <w:tcW w:w="1065" w:type="dxa"/>
            <w:tcBorders>
              <w:top w:val="nil"/>
              <w:left w:val="nil"/>
              <w:bottom w:val="single" w:sz="4" w:space="0" w:color="auto"/>
              <w:right w:val="single" w:sz="4" w:space="0" w:color="auto"/>
            </w:tcBorders>
            <w:shd w:val="clear" w:color="auto" w:fill="auto"/>
            <w:vAlign w:val="center"/>
            <w:hideMark/>
          </w:tcPr>
          <w:p w14:paraId="37EAD01F" w14:textId="77777777" w:rsidR="00BE2FC6" w:rsidRPr="00BE2FC6" w:rsidRDefault="00BE2FC6" w:rsidP="00BE2FC6">
            <w:pPr>
              <w:spacing w:after="0" w:line="240" w:lineRule="auto"/>
              <w:jc w:val="right"/>
              <w:rPr>
                <w:rFonts w:eastAsia="Times New Roman"/>
                <w:b/>
                <w:bCs/>
                <w:color w:val="000000"/>
              </w:rPr>
            </w:pPr>
            <w:r w:rsidRPr="00BE2FC6">
              <w:rPr>
                <w:rFonts w:eastAsia="Times New Roman"/>
                <w:b/>
                <w:bCs/>
                <w:color w:val="000000"/>
              </w:rPr>
              <w:t>96%</w:t>
            </w:r>
          </w:p>
        </w:tc>
      </w:tr>
    </w:tbl>
    <w:p w14:paraId="3A4D040B" w14:textId="77777777" w:rsidR="00BE2FC6" w:rsidRDefault="00BE2FC6" w:rsidP="000F2724">
      <w:pPr>
        <w:pStyle w:val="NoSpacing"/>
      </w:pPr>
    </w:p>
    <w:p w14:paraId="10A511E6" w14:textId="08D03A7F" w:rsidR="002C2CD0" w:rsidRPr="0045221A" w:rsidRDefault="002C2CD0" w:rsidP="002C2CD0">
      <w:pPr>
        <w:pStyle w:val="Heading1"/>
        <w:spacing w:before="360"/>
      </w:pPr>
      <w:bookmarkStart w:id="8" w:name="_Toc92084370"/>
      <w:r w:rsidRPr="0045221A">
        <w:t>Targeted TA</w:t>
      </w:r>
      <w:bookmarkEnd w:id="8"/>
    </w:p>
    <w:p w14:paraId="27AC6A17" w14:textId="6ADB0B56" w:rsidR="002C2CD0" w:rsidRDefault="003734A3" w:rsidP="002C2CD0">
      <w:pPr>
        <w:pStyle w:val="Style1"/>
      </w:pPr>
      <w:r>
        <w:t xml:space="preserve">The requests for targeted TA in the </w:t>
      </w:r>
      <w:r w:rsidR="007A4760">
        <w:t>fourth</w:t>
      </w:r>
      <w:r>
        <w:t xml:space="preserve"> quarter were significant and </w:t>
      </w:r>
      <w:r w:rsidR="007A4760">
        <w:t>continue to increase from one quarter to the next. There were over 123 separate targeted TA events providing TA and/or training to more than 900 VR agency staff in the quarter.</w:t>
      </w:r>
      <w:r w:rsidR="00CD5539">
        <w:t xml:space="preserve"> </w:t>
      </w:r>
    </w:p>
    <w:p w14:paraId="022BE34C" w14:textId="77777777" w:rsidR="00CD5539" w:rsidRDefault="00CD5539" w:rsidP="00CD5539">
      <w:pPr>
        <w:pStyle w:val="Heading2"/>
      </w:pPr>
      <w:bookmarkStart w:id="9" w:name="_Toc92084371"/>
      <w:r>
        <w:t xml:space="preserve">Number of events by type, topic, </w:t>
      </w:r>
      <w:proofErr w:type="gramStart"/>
      <w:r>
        <w:t>agency</w:t>
      </w:r>
      <w:proofErr w:type="gramEnd"/>
      <w:r>
        <w:t xml:space="preserve"> and number served:</w:t>
      </w:r>
      <w:bookmarkEnd w:id="9"/>
    </w:p>
    <w:p w14:paraId="376F103C" w14:textId="77777777" w:rsidR="00FF7CE8" w:rsidRDefault="00FF7CE8" w:rsidP="00FF7CE8">
      <w:pPr>
        <w:pStyle w:val="Style1"/>
      </w:pPr>
      <w:r>
        <w:t>In the first year of the project the VRTAC-QM provided targeted TA and/or training to 65 of the 78 VR agencies, or 83% of the total amount of SVRAs. Table 6 summarizes the targeted TA provided during the first year of the project.</w:t>
      </w:r>
    </w:p>
    <w:p w14:paraId="437E1067" w14:textId="704ECC7D" w:rsidR="00CD5539" w:rsidRDefault="00CD5539" w:rsidP="00CD5539">
      <w:pPr>
        <w:pStyle w:val="NoSpacing"/>
        <w:spacing w:before="120"/>
      </w:pPr>
      <w:r>
        <w:t xml:space="preserve">Table 6: </w:t>
      </w:r>
      <w:r w:rsidRPr="00CD5539">
        <w:rPr>
          <w:rStyle w:val="NoSpacingChar"/>
          <w:i/>
          <w:iCs/>
        </w:rPr>
        <w:t>Targeted TA in Year One by Quarter</w:t>
      </w:r>
    </w:p>
    <w:tbl>
      <w:tblPr>
        <w:tblW w:w="8980" w:type="dxa"/>
        <w:tblLook w:val="04A0" w:firstRow="1" w:lastRow="0" w:firstColumn="1" w:lastColumn="0" w:noHBand="0" w:noVBand="1"/>
      </w:tblPr>
      <w:tblGrid>
        <w:gridCol w:w="5337"/>
        <w:gridCol w:w="605"/>
        <w:gridCol w:w="604"/>
        <w:gridCol w:w="790"/>
        <w:gridCol w:w="604"/>
        <w:gridCol w:w="1040"/>
      </w:tblGrid>
      <w:tr w:rsidR="00CD5539" w:rsidRPr="00CD5539" w14:paraId="5EF13105" w14:textId="77777777" w:rsidTr="00CD5539">
        <w:trPr>
          <w:trHeight w:val="310"/>
        </w:trPr>
        <w:tc>
          <w:tcPr>
            <w:tcW w:w="8980" w:type="dxa"/>
            <w:gridSpan w:val="6"/>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5BDD717"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Targeted TA Totals for Year One by Quarter</w:t>
            </w:r>
          </w:p>
        </w:tc>
      </w:tr>
      <w:tr w:rsidR="00CD5539" w:rsidRPr="00CD5539" w14:paraId="4050B31B" w14:textId="77777777" w:rsidTr="00CD5539">
        <w:trPr>
          <w:trHeight w:val="310"/>
        </w:trPr>
        <w:tc>
          <w:tcPr>
            <w:tcW w:w="5337" w:type="dxa"/>
            <w:tcBorders>
              <w:top w:val="nil"/>
              <w:left w:val="single" w:sz="4" w:space="0" w:color="auto"/>
              <w:bottom w:val="single" w:sz="4" w:space="0" w:color="auto"/>
              <w:right w:val="single" w:sz="4" w:space="0" w:color="auto"/>
            </w:tcBorders>
            <w:shd w:val="clear" w:color="000000" w:fill="F8CBAD"/>
            <w:noWrap/>
            <w:vAlign w:val="center"/>
            <w:hideMark/>
          </w:tcPr>
          <w:p w14:paraId="65F27856"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Item</w:t>
            </w:r>
          </w:p>
        </w:tc>
        <w:tc>
          <w:tcPr>
            <w:tcW w:w="605" w:type="dxa"/>
            <w:tcBorders>
              <w:top w:val="nil"/>
              <w:left w:val="nil"/>
              <w:bottom w:val="single" w:sz="4" w:space="0" w:color="auto"/>
              <w:right w:val="single" w:sz="4" w:space="0" w:color="auto"/>
            </w:tcBorders>
            <w:shd w:val="clear" w:color="000000" w:fill="F8CBAD"/>
            <w:noWrap/>
            <w:vAlign w:val="center"/>
            <w:hideMark/>
          </w:tcPr>
          <w:p w14:paraId="21FF6E2F"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Q1</w:t>
            </w:r>
          </w:p>
        </w:tc>
        <w:tc>
          <w:tcPr>
            <w:tcW w:w="604" w:type="dxa"/>
            <w:tcBorders>
              <w:top w:val="nil"/>
              <w:left w:val="nil"/>
              <w:bottom w:val="single" w:sz="4" w:space="0" w:color="auto"/>
              <w:right w:val="single" w:sz="4" w:space="0" w:color="auto"/>
            </w:tcBorders>
            <w:shd w:val="clear" w:color="000000" w:fill="F8CBAD"/>
            <w:noWrap/>
            <w:vAlign w:val="center"/>
            <w:hideMark/>
          </w:tcPr>
          <w:p w14:paraId="5F32CCFA"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Q2</w:t>
            </w:r>
          </w:p>
        </w:tc>
        <w:tc>
          <w:tcPr>
            <w:tcW w:w="790" w:type="dxa"/>
            <w:tcBorders>
              <w:top w:val="nil"/>
              <w:left w:val="nil"/>
              <w:bottom w:val="single" w:sz="4" w:space="0" w:color="auto"/>
              <w:right w:val="single" w:sz="4" w:space="0" w:color="auto"/>
            </w:tcBorders>
            <w:shd w:val="clear" w:color="000000" w:fill="F8CBAD"/>
            <w:noWrap/>
            <w:vAlign w:val="center"/>
            <w:hideMark/>
          </w:tcPr>
          <w:p w14:paraId="3AEE6CBC"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Q3</w:t>
            </w:r>
          </w:p>
        </w:tc>
        <w:tc>
          <w:tcPr>
            <w:tcW w:w="604" w:type="dxa"/>
            <w:tcBorders>
              <w:top w:val="nil"/>
              <w:left w:val="nil"/>
              <w:bottom w:val="single" w:sz="4" w:space="0" w:color="auto"/>
              <w:right w:val="single" w:sz="4" w:space="0" w:color="auto"/>
            </w:tcBorders>
            <w:shd w:val="clear" w:color="000000" w:fill="F8CBAD"/>
            <w:noWrap/>
            <w:vAlign w:val="center"/>
            <w:hideMark/>
          </w:tcPr>
          <w:p w14:paraId="67CE40EF"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Q4</w:t>
            </w:r>
          </w:p>
        </w:tc>
        <w:tc>
          <w:tcPr>
            <w:tcW w:w="1040" w:type="dxa"/>
            <w:tcBorders>
              <w:top w:val="nil"/>
              <w:left w:val="nil"/>
              <w:bottom w:val="single" w:sz="4" w:space="0" w:color="auto"/>
              <w:right w:val="single" w:sz="4" w:space="0" w:color="auto"/>
            </w:tcBorders>
            <w:shd w:val="clear" w:color="000000" w:fill="F8CBAD"/>
            <w:noWrap/>
            <w:vAlign w:val="center"/>
            <w:hideMark/>
          </w:tcPr>
          <w:p w14:paraId="6E9E0C74" w14:textId="77777777" w:rsidR="00CD5539" w:rsidRPr="00CD5539" w:rsidRDefault="00CD5539" w:rsidP="00CD5539">
            <w:pPr>
              <w:spacing w:after="0" w:line="240" w:lineRule="auto"/>
              <w:jc w:val="center"/>
              <w:rPr>
                <w:rFonts w:eastAsia="Times New Roman"/>
                <w:b/>
                <w:bCs/>
                <w:color w:val="000000"/>
              </w:rPr>
            </w:pPr>
            <w:r w:rsidRPr="00CD5539">
              <w:rPr>
                <w:rFonts w:eastAsia="Times New Roman"/>
                <w:b/>
                <w:bCs/>
                <w:color w:val="000000"/>
              </w:rPr>
              <w:t>Totals</w:t>
            </w:r>
          </w:p>
        </w:tc>
      </w:tr>
      <w:tr w:rsidR="00CD5539" w:rsidRPr="00CD5539" w14:paraId="4F35402F" w14:textId="77777777" w:rsidTr="00CD5539">
        <w:trPr>
          <w:trHeight w:val="310"/>
        </w:trPr>
        <w:tc>
          <w:tcPr>
            <w:tcW w:w="5337" w:type="dxa"/>
            <w:tcBorders>
              <w:top w:val="nil"/>
              <w:left w:val="single" w:sz="4" w:space="0" w:color="auto"/>
              <w:bottom w:val="single" w:sz="4" w:space="0" w:color="auto"/>
              <w:right w:val="single" w:sz="4" w:space="0" w:color="auto"/>
            </w:tcBorders>
            <w:shd w:val="clear" w:color="auto" w:fill="auto"/>
            <w:noWrap/>
            <w:vAlign w:val="center"/>
            <w:hideMark/>
          </w:tcPr>
          <w:p w14:paraId="72F3DB1D" w14:textId="77777777" w:rsidR="00CD5539" w:rsidRPr="00CD5539" w:rsidRDefault="00CD5539" w:rsidP="00CD5539">
            <w:pPr>
              <w:spacing w:after="0" w:line="240" w:lineRule="auto"/>
              <w:rPr>
                <w:rFonts w:eastAsia="Times New Roman"/>
                <w:color w:val="000000"/>
              </w:rPr>
            </w:pPr>
            <w:r w:rsidRPr="00CD5539">
              <w:rPr>
                <w:rFonts w:eastAsia="Times New Roman"/>
                <w:color w:val="000000"/>
              </w:rPr>
              <w:t>Number of Agencies Receiving TA</w:t>
            </w:r>
          </w:p>
        </w:tc>
        <w:tc>
          <w:tcPr>
            <w:tcW w:w="605" w:type="dxa"/>
            <w:tcBorders>
              <w:top w:val="nil"/>
              <w:left w:val="nil"/>
              <w:bottom w:val="single" w:sz="4" w:space="0" w:color="auto"/>
              <w:right w:val="single" w:sz="4" w:space="0" w:color="auto"/>
            </w:tcBorders>
            <w:shd w:val="clear" w:color="auto" w:fill="auto"/>
            <w:noWrap/>
            <w:vAlign w:val="center"/>
            <w:hideMark/>
          </w:tcPr>
          <w:p w14:paraId="1029CC3E"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26</w:t>
            </w:r>
          </w:p>
        </w:tc>
        <w:tc>
          <w:tcPr>
            <w:tcW w:w="604" w:type="dxa"/>
            <w:tcBorders>
              <w:top w:val="nil"/>
              <w:left w:val="nil"/>
              <w:bottom w:val="single" w:sz="4" w:space="0" w:color="auto"/>
              <w:right w:val="single" w:sz="4" w:space="0" w:color="auto"/>
            </w:tcBorders>
            <w:shd w:val="clear" w:color="auto" w:fill="auto"/>
            <w:noWrap/>
            <w:vAlign w:val="center"/>
            <w:hideMark/>
          </w:tcPr>
          <w:p w14:paraId="2E8D1ECC"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48</w:t>
            </w:r>
          </w:p>
        </w:tc>
        <w:tc>
          <w:tcPr>
            <w:tcW w:w="790" w:type="dxa"/>
            <w:tcBorders>
              <w:top w:val="nil"/>
              <w:left w:val="nil"/>
              <w:bottom w:val="single" w:sz="4" w:space="0" w:color="auto"/>
              <w:right w:val="single" w:sz="4" w:space="0" w:color="auto"/>
            </w:tcBorders>
            <w:shd w:val="clear" w:color="auto" w:fill="auto"/>
            <w:noWrap/>
            <w:vAlign w:val="center"/>
            <w:hideMark/>
          </w:tcPr>
          <w:p w14:paraId="76E33B64"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51</w:t>
            </w:r>
          </w:p>
        </w:tc>
        <w:tc>
          <w:tcPr>
            <w:tcW w:w="604" w:type="dxa"/>
            <w:tcBorders>
              <w:top w:val="nil"/>
              <w:left w:val="nil"/>
              <w:bottom w:val="single" w:sz="4" w:space="0" w:color="auto"/>
              <w:right w:val="single" w:sz="4" w:space="0" w:color="auto"/>
            </w:tcBorders>
            <w:shd w:val="clear" w:color="auto" w:fill="auto"/>
            <w:noWrap/>
            <w:vAlign w:val="center"/>
            <w:hideMark/>
          </w:tcPr>
          <w:p w14:paraId="066A6FE1"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54</w:t>
            </w:r>
          </w:p>
        </w:tc>
        <w:tc>
          <w:tcPr>
            <w:tcW w:w="1040" w:type="dxa"/>
            <w:tcBorders>
              <w:top w:val="nil"/>
              <w:left w:val="nil"/>
              <w:bottom w:val="single" w:sz="4" w:space="0" w:color="auto"/>
              <w:right w:val="single" w:sz="4" w:space="0" w:color="auto"/>
            </w:tcBorders>
            <w:shd w:val="clear" w:color="auto" w:fill="auto"/>
            <w:noWrap/>
            <w:vAlign w:val="center"/>
            <w:hideMark/>
          </w:tcPr>
          <w:p w14:paraId="3C52CAA7" w14:textId="77777777" w:rsidR="00CD5539" w:rsidRPr="00CD5539" w:rsidRDefault="00CD5539" w:rsidP="00CD5539">
            <w:pPr>
              <w:spacing w:after="0" w:line="240" w:lineRule="auto"/>
              <w:jc w:val="right"/>
              <w:rPr>
                <w:rFonts w:eastAsia="Times New Roman"/>
                <w:b/>
                <w:bCs/>
                <w:color w:val="000000"/>
              </w:rPr>
            </w:pPr>
            <w:r w:rsidRPr="00CD5539">
              <w:rPr>
                <w:rFonts w:eastAsia="Times New Roman"/>
                <w:b/>
                <w:bCs/>
                <w:color w:val="000000"/>
              </w:rPr>
              <w:t>65</w:t>
            </w:r>
          </w:p>
        </w:tc>
      </w:tr>
      <w:tr w:rsidR="00CD5539" w:rsidRPr="00CD5539" w14:paraId="46A80B91" w14:textId="77777777" w:rsidTr="00CD5539">
        <w:trPr>
          <w:trHeight w:val="310"/>
        </w:trPr>
        <w:tc>
          <w:tcPr>
            <w:tcW w:w="5337" w:type="dxa"/>
            <w:tcBorders>
              <w:top w:val="nil"/>
              <w:left w:val="single" w:sz="4" w:space="0" w:color="auto"/>
              <w:bottom w:val="single" w:sz="4" w:space="0" w:color="auto"/>
              <w:right w:val="single" w:sz="4" w:space="0" w:color="auto"/>
            </w:tcBorders>
            <w:shd w:val="clear" w:color="auto" w:fill="auto"/>
            <w:noWrap/>
            <w:vAlign w:val="center"/>
            <w:hideMark/>
          </w:tcPr>
          <w:p w14:paraId="48EC2AE8" w14:textId="77777777" w:rsidR="00CD5539" w:rsidRPr="00CD5539" w:rsidRDefault="00CD5539" w:rsidP="00CD5539">
            <w:pPr>
              <w:spacing w:after="0" w:line="240" w:lineRule="auto"/>
              <w:rPr>
                <w:rFonts w:eastAsia="Times New Roman"/>
                <w:color w:val="000000"/>
              </w:rPr>
            </w:pPr>
            <w:r w:rsidRPr="00CD5539">
              <w:rPr>
                <w:rFonts w:eastAsia="Times New Roman"/>
                <w:color w:val="000000"/>
              </w:rPr>
              <w:t>Number of TA Events</w:t>
            </w:r>
          </w:p>
        </w:tc>
        <w:tc>
          <w:tcPr>
            <w:tcW w:w="605" w:type="dxa"/>
            <w:tcBorders>
              <w:top w:val="nil"/>
              <w:left w:val="nil"/>
              <w:bottom w:val="single" w:sz="4" w:space="0" w:color="auto"/>
              <w:right w:val="single" w:sz="4" w:space="0" w:color="auto"/>
            </w:tcBorders>
            <w:shd w:val="clear" w:color="auto" w:fill="auto"/>
            <w:noWrap/>
            <w:vAlign w:val="center"/>
            <w:hideMark/>
          </w:tcPr>
          <w:p w14:paraId="2736EC56"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31</w:t>
            </w:r>
          </w:p>
        </w:tc>
        <w:tc>
          <w:tcPr>
            <w:tcW w:w="604" w:type="dxa"/>
            <w:tcBorders>
              <w:top w:val="nil"/>
              <w:left w:val="nil"/>
              <w:bottom w:val="single" w:sz="4" w:space="0" w:color="auto"/>
              <w:right w:val="single" w:sz="4" w:space="0" w:color="auto"/>
            </w:tcBorders>
            <w:shd w:val="clear" w:color="auto" w:fill="auto"/>
            <w:noWrap/>
            <w:vAlign w:val="center"/>
            <w:hideMark/>
          </w:tcPr>
          <w:p w14:paraId="011561DC"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94</w:t>
            </w:r>
          </w:p>
        </w:tc>
        <w:tc>
          <w:tcPr>
            <w:tcW w:w="790" w:type="dxa"/>
            <w:tcBorders>
              <w:top w:val="nil"/>
              <w:left w:val="nil"/>
              <w:bottom w:val="single" w:sz="4" w:space="0" w:color="auto"/>
              <w:right w:val="single" w:sz="4" w:space="0" w:color="auto"/>
            </w:tcBorders>
            <w:shd w:val="clear" w:color="auto" w:fill="auto"/>
            <w:noWrap/>
            <w:vAlign w:val="center"/>
            <w:hideMark/>
          </w:tcPr>
          <w:p w14:paraId="2C57D465"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110</w:t>
            </w:r>
          </w:p>
        </w:tc>
        <w:tc>
          <w:tcPr>
            <w:tcW w:w="604" w:type="dxa"/>
            <w:tcBorders>
              <w:top w:val="nil"/>
              <w:left w:val="nil"/>
              <w:bottom w:val="single" w:sz="4" w:space="0" w:color="auto"/>
              <w:right w:val="single" w:sz="4" w:space="0" w:color="auto"/>
            </w:tcBorders>
            <w:shd w:val="clear" w:color="auto" w:fill="auto"/>
            <w:noWrap/>
            <w:vAlign w:val="center"/>
            <w:hideMark/>
          </w:tcPr>
          <w:p w14:paraId="407BE542"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123</w:t>
            </w:r>
          </w:p>
        </w:tc>
        <w:tc>
          <w:tcPr>
            <w:tcW w:w="1040" w:type="dxa"/>
            <w:tcBorders>
              <w:top w:val="nil"/>
              <w:left w:val="nil"/>
              <w:bottom w:val="single" w:sz="4" w:space="0" w:color="auto"/>
              <w:right w:val="single" w:sz="4" w:space="0" w:color="auto"/>
            </w:tcBorders>
            <w:shd w:val="clear" w:color="auto" w:fill="auto"/>
            <w:noWrap/>
            <w:vAlign w:val="center"/>
            <w:hideMark/>
          </w:tcPr>
          <w:p w14:paraId="6C16EDA7" w14:textId="77777777" w:rsidR="00CD5539" w:rsidRPr="00CD5539" w:rsidRDefault="00CD5539" w:rsidP="00CD5539">
            <w:pPr>
              <w:spacing w:after="0" w:line="240" w:lineRule="auto"/>
              <w:jc w:val="right"/>
              <w:rPr>
                <w:rFonts w:eastAsia="Times New Roman"/>
                <w:b/>
                <w:bCs/>
                <w:color w:val="000000"/>
              </w:rPr>
            </w:pPr>
            <w:r w:rsidRPr="00CD5539">
              <w:rPr>
                <w:rFonts w:eastAsia="Times New Roman"/>
                <w:b/>
                <w:bCs/>
                <w:color w:val="000000"/>
              </w:rPr>
              <w:t>358</w:t>
            </w:r>
          </w:p>
        </w:tc>
      </w:tr>
      <w:tr w:rsidR="00CD5539" w:rsidRPr="00CD5539" w14:paraId="38788D8A" w14:textId="77777777" w:rsidTr="00CD5539">
        <w:trPr>
          <w:trHeight w:val="310"/>
        </w:trPr>
        <w:tc>
          <w:tcPr>
            <w:tcW w:w="5337" w:type="dxa"/>
            <w:tcBorders>
              <w:top w:val="nil"/>
              <w:left w:val="single" w:sz="4" w:space="0" w:color="auto"/>
              <w:bottom w:val="single" w:sz="4" w:space="0" w:color="auto"/>
              <w:right w:val="single" w:sz="4" w:space="0" w:color="auto"/>
            </w:tcBorders>
            <w:shd w:val="clear" w:color="auto" w:fill="auto"/>
            <w:noWrap/>
            <w:vAlign w:val="center"/>
            <w:hideMark/>
          </w:tcPr>
          <w:p w14:paraId="37D082BB" w14:textId="43E5D1A3" w:rsidR="00CD5539" w:rsidRPr="00CD5539" w:rsidRDefault="00CD5539" w:rsidP="00CD5539">
            <w:pPr>
              <w:spacing w:after="0" w:line="240" w:lineRule="auto"/>
              <w:rPr>
                <w:rFonts w:eastAsia="Times New Roman"/>
                <w:color w:val="000000"/>
              </w:rPr>
            </w:pPr>
            <w:r w:rsidRPr="00CD5539">
              <w:rPr>
                <w:rFonts w:eastAsia="Times New Roman"/>
                <w:color w:val="000000"/>
              </w:rPr>
              <w:t>Number of VR Staff Receiving</w:t>
            </w:r>
            <w:r>
              <w:rPr>
                <w:rFonts w:eastAsia="Times New Roman"/>
                <w:color w:val="000000"/>
              </w:rPr>
              <w:t xml:space="preserve"> </w:t>
            </w:r>
            <w:r w:rsidRPr="00CD5539">
              <w:rPr>
                <w:rFonts w:eastAsia="Times New Roman"/>
                <w:color w:val="000000"/>
              </w:rPr>
              <w:t>TA</w:t>
            </w:r>
          </w:p>
        </w:tc>
        <w:tc>
          <w:tcPr>
            <w:tcW w:w="605" w:type="dxa"/>
            <w:tcBorders>
              <w:top w:val="nil"/>
              <w:left w:val="nil"/>
              <w:bottom w:val="single" w:sz="4" w:space="0" w:color="auto"/>
              <w:right w:val="single" w:sz="4" w:space="0" w:color="auto"/>
            </w:tcBorders>
            <w:shd w:val="clear" w:color="auto" w:fill="auto"/>
            <w:noWrap/>
            <w:vAlign w:val="center"/>
            <w:hideMark/>
          </w:tcPr>
          <w:p w14:paraId="55341D98"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101</w:t>
            </w:r>
          </w:p>
        </w:tc>
        <w:tc>
          <w:tcPr>
            <w:tcW w:w="604" w:type="dxa"/>
            <w:tcBorders>
              <w:top w:val="nil"/>
              <w:left w:val="nil"/>
              <w:bottom w:val="single" w:sz="4" w:space="0" w:color="auto"/>
              <w:right w:val="single" w:sz="4" w:space="0" w:color="auto"/>
            </w:tcBorders>
            <w:shd w:val="clear" w:color="auto" w:fill="auto"/>
            <w:noWrap/>
            <w:vAlign w:val="center"/>
            <w:hideMark/>
          </w:tcPr>
          <w:p w14:paraId="4B602C01"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531</w:t>
            </w:r>
          </w:p>
        </w:tc>
        <w:tc>
          <w:tcPr>
            <w:tcW w:w="790" w:type="dxa"/>
            <w:tcBorders>
              <w:top w:val="nil"/>
              <w:left w:val="nil"/>
              <w:bottom w:val="single" w:sz="4" w:space="0" w:color="auto"/>
              <w:right w:val="single" w:sz="4" w:space="0" w:color="auto"/>
            </w:tcBorders>
            <w:shd w:val="clear" w:color="auto" w:fill="auto"/>
            <w:noWrap/>
            <w:vAlign w:val="center"/>
            <w:hideMark/>
          </w:tcPr>
          <w:p w14:paraId="43850FC2"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1578</w:t>
            </w:r>
          </w:p>
        </w:tc>
        <w:tc>
          <w:tcPr>
            <w:tcW w:w="604" w:type="dxa"/>
            <w:tcBorders>
              <w:top w:val="nil"/>
              <w:left w:val="nil"/>
              <w:bottom w:val="single" w:sz="4" w:space="0" w:color="auto"/>
              <w:right w:val="single" w:sz="4" w:space="0" w:color="auto"/>
            </w:tcBorders>
            <w:shd w:val="clear" w:color="auto" w:fill="auto"/>
            <w:noWrap/>
            <w:vAlign w:val="center"/>
            <w:hideMark/>
          </w:tcPr>
          <w:p w14:paraId="62BA66CE" w14:textId="77777777" w:rsidR="00CD5539" w:rsidRPr="00CD5539" w:rsidRDefault="00CD5539" w:rsidP="00CD5539">
            <w:pPr>
              <w:spacing w:after="0" w:line="240" w:lineRule="auto"/>
              <w:jc w:val="right"/>
              <w:rPr>
                <w:rFonts w:eastAsia="Times New Roman"/>
                <w:color w:val="000000"/>
              </w:rPr>
            </w:pPr>
            <w:r w:rsidRPr="00CD5539">
              <w:rPr>
                <w:rFonts w:eastAsia="Times New Roman"/>
                <w:color w:val="000000"/>
              </w:rPr>
              <w:t>928</w:t>
            </w:r>
          </w:p>
        </w:tc>
        <w:tc>
          <w:tcPr>
            <w:tcW w:w="1040" w:type="dxa"/>
            <w:tcBorders>
              <w:top w:val="nil"/>
              <w:left w:val="nil"/>
              <w:bottom w:val="single" w:sz="4" w:space="0" w:color="auto"/>
              <w:right w:val="single" w:sz="4" w:space="0" w:color="auto"/>
            </w:tcBorders>
            <w:shd w:val="clear" w:color="auto" w:fill="auto"/>
            <w:noWrap/>
            <w:vAlign w:val="center"/>
            <w:hideMark/>
          </w:tcPr>
          <w:p w14:paraId="2406EB2B" w14:textId="77777777" w:rsidR="00CD5539" w:rsidRPr="00CD5539" w:rsidRDefault="00CD5539" w:rsidP="00CD5539">
            <w:pPr>
              <w:spacing w:after="0" w:line="240" w:lineRule="auto"/>
              <w:jc w:val="right"/>
              <w:rPr>
                <w:rFonts w:eastAsia="Times New Roman"/>
                <w:b/>
                <w:bCs/>
                <w:color w:val="000000"/>
              </w:rPr>
            </w:pPr>
            <w:r w:rsidRPr="00CD5539">
              <w:rPr>
                <w:rFonts w:eastAsia="Times New Roman"/>
                <w:b/>
                <w:bCs/>
                <w:color w:val="000000"/>
              </w:rPr>
              <w:t>3138</w:t>
            </w:r>
          </w:p>
        </w:tc>
      </w:tr>
    </w:tbl>
    <w:p w14:paraId="4C3FA06F" w14:textId="7303A757" w:rsidR="00CD5539" w:rsidRDefault="00CD5539" w:rsidP="002C2CD0">
      <w:pPr>
        <w:pStyle w:val="Style1"/>
      </w:pPr>
      <w:r>
        <w:t>Table 7 details the targeted TA for the fourth quarter of the first year</w:t>
      </w:r>
    </w:p>
    <w:p w14:paraId="5F6542CE" w14:textId="7D984717" w:rsidR="002C2CD0" w:rsidRPr="00FC7941" w:rsidRDefault="002C2CD0" w:rsidP="002C2CD0">
      <w:pPr>
        <w:pStyle w:val="Style1"/>
        <w:rPr>
          <w:i/>
        </w:rPr>
      </w:pPr>
      <w:r>
        <w:t xml:space="preserve">Table </w:t>
      </w:r>
      <w:r w:rsidR="00CD5539">
        <w:t>7</w:t>
      </w:r>
      <w:r>
        <w:t xml:space="preserve">: </w:t>
      </w:r>
      <w:r w:rsidRPr="00FC7941">
        <w:rPr>
          <w:i/>
        </w:rPr>
        <w:t xml:space="preserve">Targeted TA and Training during the </w:t>
      </w:r>
      <w:r w:rsidR="00CD5539">
        <w:rPr>
          <w:i/>
        </w:rPr>
        <w:t>4th</w:t>
      </w:r>
      <w:r w:rsidR="003734A3">
        <w:rPr>
          <w:i/>
        </w:rPr>
        <w:t xml:space="preserve"> </w:t>
      </w:r>
      <w:r w:rsidRPr="00FC7941">
        <w:rPr>
          <w:i/>
        </w:rPr>
        <w:t>Quarter of Year One</w:t>
      </w:r>
    </w:p>
    <w:tbl>
      <w:tblPr>
        <w:tblW w:w="9440" w:type="dxa"/>
        <w:tblLook w:val="04A0" w:firstRow="1" w:lastRow="0" w:firstColumn="1" w:lastColumn="0" w:noHBand="0" w:noVBand="1"/>
      </w:tblPr>
      <w:tblGrid>
        <w:gridCol w:w="2280"/>
        <w:gridCol w:w="5740"/>
        <w:gridCol w:w="1420"/>
      </w:tblGrid>
      <w:tr w:rsidR="00C47F7F" w:rsidRPr="00C47F7F" w14:paraId="08331555" w14:textId="77777777" w:rsidTr="00C47F7F">
        <w:trPr>
          <w:trHeight w:val="900"/>
          <w:tblHeader/>
        </w:trPr>
        <w:tc>
          <w:tcPr>
            <w:tcW w:w="228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197F22B" w14:textId="77777777" w:rsidR="00C47F7F" w:rsidRPr="00C47F7F" w:rsidRDefault="00C47F7F" w:rsidP="00C47F7F">
            <w:pPr>
              <w:spacing w:after="0" w:line="240" w:lineRule="auto"/>
              <w:jc w:val="center"/>
              <w:rPr>
                <w:rFonts w:eastAsia="Times New Roman"/>
                <w:b/>
                <w:bCs/>
                <w:color w:val="000000"/>
              </w:rPr>
            </w:pPr>
            <w:r w:rsidRPr="00C47F7F">
              <w:rPr>
                <w:rFonts w:eastAsia="Times New Roman"/>
                <w:b/>
                <w:bCs/>
                <w:color w:val="000000"/>
              </w:rPr>
              <w:lastRenderedPageBreak/>
              <w:t>Agency</w:t>
            </w:r>
          </w:p>
        </w:tc>
        <w:tc>
          <w:tcPr>
            <w:tcW w:w="5740" w:type="dxa"/>
            <w:tcBorders>
              <w:top w:val="single" w:sz="4" w:space="0" w:color="auto"/>
              <w:left w:val="nil"/>
              <w:bottom w:val="single" w:sz="4" w:space="0" w:color="auto"/>
              <w:right w:val="single" w:sz="4" w:space="0" w:color="auto"/>
            </w:tcBorders>
            <w:shd w:val="clear" w:color="000000" w:fill="F8CBAD"/>
            <w:vAlign w:val="center"/>
            <w:hideMark/>
          </w:tcPr>
          <w:p w14:paraId="1D324978" w14:textId="77777777" w:rsidR="00C47F7F" w:rsidRPr="00C47F7F" w:rsidRDefault="00C47F7F" w:rsidP="00C47F7F">
            <w:pPr>
              <w:spacing w:after="0" w:line="240" w:lineRule="auto"/>
              <w:jc w:val="center"/>
              <w:rPr>
                <w:rFonts w:eastAsia="Times New Roman"/>
                <w:b/>
                <w:bCs/>
                <w:color w:val="000000"/>
              </w:rPr>
            </w:pPr>
            <w:r w:rsidRPr="00C47F7F">
              <w:rPr>
                <w:rFonts w:eastAsia="Times New Roman"/>
                <w:b/>
                <w:bCs/>
                <w:color w:val="000000"/>
              </w:rPr>
              <w:t>Request</w:t>
            </w:r>
          </w:p>
        </w:tc>
        <w:tc>
          <w:tcPr>
            <w:tcW w:w="1420" w:type="dxa"/>
            <w:tcBorders>
              <w:top w:val="single" w:sz="4" w:space="0" w:color="auto"/>
              <w:left w:val="nil"/>
              <w:bottom w:val="single" w:sz="4" w:space="0" w:color="auto"/>
              <w:right w:val="single" w:sz="4" w:space="0" w:color="auto"/>
            </w:tcBorders>
            <w:shd w:val="clear" w:color="000000" w:fill="F8CBAD"/>
            <w:vAlign w:val="center"/>
            <w:hideMark/>
          </w:tcPr>
          <w:p w14:paraId="2D393F03" w14:textId="77777777" w:rsidR="00C47F7F" w:rsidRPr="00C47F7F" w:rsidRDefault="00C47F7F" w:rsidP="00C47F7F">
            <w:pPr>
              <w:spacing w:after="0" w:line="240" w:lineRule="auto"/>
              <w:jc w:val="center"/>
              <w:rPr>
                <w:rFonts w:eastAsia="Times New Roman"/>
                <w:b/>
                <w:bCs/>
                <w:color w:val="000000"/>
              </w:rPr>
            </w:pPr>
            <w:r w:rsidRPr="00C47F7F">
              <w:rPr>
                <w:rFonts w:eastAsia="Times New Roman"/>
                <w:b/>
                <w:bCs/>
                <w:color w:val="000000"/>
              </w:rPr>
              <w:t>Number Receiving TA</w:t>
            </w:r>
          </w:p>
        </w:tc>
      </w:tr>
      <w:tr w:rsidR="00C47F7F" w:rsidRPr="00C47F7F" w14:paraId="7E1C8A01"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AC61D0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Alaska Combined</w:t>
            </w:r>
          </w:p>
        </w:tc>
        <w:tc>
          <w:tcPr>
            <w:tcW w:w="5740" w:type="dxa"/>
            <w:tcBorders>
              <w:top w:val="nil"/>
              <w:left w:val="nil"/>
              <w:bottom w:val="single" w:sz="4" w:space="0" w:color="auto"/>
              <w:right w:val="single" w:sz="4" w:space="0" w:color="auto"/>
            </w:tcBorders>
            <w:shd w:val="clear" w:color="auto" w:fill="auto"/>
            <w:vAlign w:val="center"/>
            <w:hideMark/>
          </w:tcPr>
          <w:p w14:paraId="0D550D8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Information and referral on available TA, referral to QE, discussion of CE state level partnerships;</w:t>
            </w:r>
          </w:p>
        </w:tc>
        <w:tc>
          <w:tcPr>
            <w:tcW w:w="1420" w:type="dxa"/>
            <w:tcBorders>
              <w:top w:val="nil"/>
              <w:left w:val="nil"/>
              <w:bottom w:val="single" w:sz="4" w:space="0" w:color="auto"/>
              <w:right w:val="single" w:sz="4" w:space="0" w:color="auto"/>
            </w:tcBorders>
            <w:shd w:val="clear" w:color="auto" w:fill="auto"/>
            <w:vAlign w:val="center"/>
            <w:hideMark/>
          </w:tcPr>
          <w:p w14:paraId="12F5E345"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w:t>
            </w:r>
          </w:p>
        </w:tc>
      </w:tr>
      <w:tr w:rsidR="00C47F7F" w:rsidRPr="00C47F7F" w14:paraId="67DE78EA"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7E7548E"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American Samoa</w:t>
            </w:r>
          </w:p>
        </w:tc>
        <w:tc>
          <w:tcPr>
            <w:tcW w:w="5740" w:type="dxa"/>
            <w:tcBorders>
              <w:top w:val="nil"/>
              <w:left w:val="nil"/>
              <w:bottom w:val="single" w:sz="4" w:space="0" w:color="auto"/>
              <w:right w:val="single" w:sz="4" w:space="0" w:color="auto"/>
            </w:tcBorders>
            <w:shd w:val="clear" w:color="auto" w:fill="auto"/>
            <w:vAlign w:val="center"/>
            <w:hideMark/>
          </w:tcPr>
          <w:p w14:paraId="70A39FB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Reporting and Policy Review</w:t>
            </w:r>
          </w:p>
        </w:tc>
        <w:tc>
          <w:tcPr>
            <w:tcW w:w="1420" w:type="dxa"/>
            <w:tcBorders>
              <w:top w:val="nil"/>
              <w:left w:val="nil"/>
              <w:bottom w:val="single" w:sz="4" w:space="0" w:color="auto"/>
              <w:right w:val="single" w:sz="4" w:space="0" w:color="auto"/>
            </w:tcBorders>
            <w:shd w:val="clear" w:color="auto" w:fill="auto"/>
            <w:vAlign w:val="center"/>
            <w:hideMark/>
          </w:tcPr>
          <w:p w14:paraId="5033A219"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72F062E3"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CD18F0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Arizona Combined </w:t>
            </w:r>
          </w:p>
        </w:tc>
        <w:tc>
          <w:tcPr>
            <w:tcW w:w="5740" w:type="dxa"/>
            <w:tcBorders>
              <w:top w:val="nil"/>
              <w:left w:val="nil"/>
              <w:bottom w:val="single" w:sz="4" w:space="0" w:color="auto"/>
              <w:right w:val="single" w:sz="4" w:space="0" w:color="auto"/>
            </w:tcBorders>
            <w:shd w:val="clear" w:color="auto" w:fill="auto"/>
            <w:vAlign w:val="center"/>
            <w:hideMark/>
          </w:tcPr>
          <w:p w14:paraId="6E6A1B6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Fiscal training for DSA Staff; Match, MOE and reallotment for DSA and DSU;</w:t>
            </w:r>
          </w:p>
        </w:tc>
        <w:tc>
          <w:tcPr>
            <w:tcW w:w="1420" w:type="dxa"/>
            <w:tcBorders>
              <w:top w:val="nil"/>
              <w:left w:val="nil"/>
              <w:bottom w:val="single" w:sz="4" w:space="0" w:color="auto"/>
              <w:right w:val="single" w:sz="4" w:space="0" w:color="auto"/>
            </w:tcBorders>
            <w:shd w:val="clear" w:color="auto" w:fill="auto"/>
            <w:vAlign w:val="center"/>
            <w:hideMark/>
          </w:tcPr>
          <w:p w14:paraId="77AAEA6E"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088EB4C5"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B0E9215"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Arkansas Blind</w:t>
            </w:r>
          </w:p>
        </w:tc>
        <w:tc>
          <w:tcPr>
            <w:tcW w:w="5740" w:type="dxa"/>
            <w:tcBorders>
              <w:top w:val="nil"/>
              <w:left w:val="nil"/>
              <w:bottom w:val="single" w:sz="4" w:space="0" w:color="auto"/>
              <w:right w:val="single" w:sz="4" w:space="0" w:color="auto"/>
            </w:tcBorders>
            <w:shd w:val="clear" w:color="auto" w:fill="auto"/>
            <w:vAlign w:val="center"/>
            <w:hideMark/>
          </w:tcPr>
          <w:p w14:paraId="4906ED98"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Rate-setting; MSG tracking and reporting; CAP assistance</w:t>
            </w:r>
          </w:p>
        </w:tc>
        <w:tc>
          <w:tcPr>
            <w:tcW w:w="1420" w:type="dxa"/>
            <w:tcBorders>
              <w:top w:val="nil"/>
              <w:left w:val="nil"/>
              <w:bottom w:val="single" w:sz="4" w:space="0" w:color="auto"/>
              <w:right w:val="single" w:sz="4" w:space="0" w:color="auto"/>
            </w:tcBorders>
            <w:shd w:val="clear" w:color="auto" w:fill="auto"/>
            <w:vAlign w:val="center"/>
            <w:hideMark/>
          </w:tcPr>
          <w:p w14:paraId="29D5C260"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6</w:t>
            </w:r>
          </w:p>
        </w:tc>
      </w:tr>
      <w:tr w:rsidR="00C47F7F" w:rsidRPr="00C47F7F" w14:paraId="36653B82" w14:textId="77777777" w:rsidTr="00C47F7F">
        <w:trPr>
          <w:trHeight w:val="186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5B99F8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California Combined</w:t>
            </w:r>
          </w:p>
        </w:tc>
        <w:tc>
          <w:tcPr>
            <w:tcW w:w="5740" w:type="dxa"/>
            <w:tcBorders>
              <w:top w:val="nil"/>
              <w:left w:val="nil"/>
              <w:bottom w:val="single" w:sz="4" w:space="0" w:color="auto"/>
              <w:right w:val="single" w:sz="4" w:space="0" w:color="auto"/>
            </w:tcBorders>
            <w:shd w:val="clear" w:color="auto" w:fill="auto"/>
            <w:vAlign w:val="center"/>
            <w:hideMark/>
          </w:tcPr>
          <w:p w14:paraId="1D295C67"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TA on RSA-911 post-exit reporting for Employment Rate and Median Earnings, sharing resources and timelines for exit cohorts, discussing challenges with UI data updates and resubmission of quarterly reports; Rate setting for Coops; Fiscal TA; ethics training; caseload management training</w:t>
            </w:r>
          </w:p>
        </w:tc>
        <w:tc>
          <w:tcPr>
            <w:tcW w:w="1420" w:type="dxa"/>
            <w:tcBorders>
              <w:top w:val="nil"/>
              <w:left w:val="nil"/>
              <w:bottom w:val="single" w:sz="4" w:space="0" w:color="auto"/>
              <w:right w:val="single" w:sz="4" w:space="0" w:color="auto"/>
            </w:tcBorders>
            <w:shd w:val="clear" w:color="auto" w:fill="auto"/>
            <w:vAlign w:val="center"/>
            <w:hideMark/>
          </w:tcPr>
          <w:p w14:paraId="56CA9FE7"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245</w:t>
            </w:r>
          </w:p>
        </w:tc>
      </w:tr>
      <w:tr w:rsidR="00C47F7F" w:rsidRPr="00C47F7F" w14:paraId="6F25BEC5"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4A8B4D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CNMI</w:t>
            </w:r>
          </w:p>
        </w:tc>
        <w:tc>
          <w:tcPr>
            <w:tcW w:w="5740" w:type="dxa"/>
            <w:tcBorders>
              <w:top w:val="nil"/>
              <w:left w:val="nil"/>
              <w:bottom w:val="single" w:sz="4" w:space="0" w:color="auto"/>
              <w:right w:val="single" w:sz="4" w:space="0" w:color="auto"/>
            </w:tcBorders>
            <w:shd w:val="clear" w:color="auto" w:fill="auto"/>
            <w:vAlign w:val="center"/>
            <w:hideMark/>
          </w:tcPr>
          <w:p w14:paraId="372F0C1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review and Q&amp;A on multiple topics; Share of cost for services; Leadership development</w:t>
            </w:r>
          </w:p>
        </w:tc>
        <w:tc>
          <w:tcPr>
            <w:tcW w:w="1420" w:type="dxa"/>
            <w:tcBorders>
              <w:top w:val="nil"/>
              <w:left w:val="nil"/>
              <w:bottom w:val="single" w:sz="4" w:space="0" w:color="auto"/>
              <w:right w:val="single" w:sz="4" w:space="0" w:color="auto"/>
            </w:tcBorders>
            <w:shd w:val="clear" w:color="auto" w:fill="auto"/>
            <w:vAlign w:val="center"/>
            <w:hideMark/>
          </w:tcPr>
          <w:p w14:paraId="22F0136B"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6</w:t>
            </w:r>
          </w:p>
        </w:tc>
      </w:tr>
      <w:tr w:rsidR="00C47F7F" w:rsidRPr="00C47F7F" w14:paraId="6C5B6268"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6146FA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Connecticut General</w:t>
            </w:r>
          </w:p>
        </w:tc>
        <w:tc>
          <w:tcPr>
            <w:tcW w:w="5740" w:type="dxa"/>
            <w:tcBorders>
              <w:top w:val="nil"/>
              <w:left w:val="nil"/>
              <w:bottom w:val="single" w:sz="4" w:space="0" w:color="auto"/>
              <w:right w:val="single" w:sz="4" w:space="0" w:color="auto"/>
            </w:tcBorders>
            <w:shd w:val="clear" w:color="auto" w:fill="auto"/>
            <w:vAlign w:val="center"/>
            <w:hideMark/>
          </w:tcPr>
          <w:p w14:paraId="290CE6B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TA on QA and internal controls, targeted reviews for enrollment and achievement of MSGs, and policy/procedure needs and parameters the agency needs to develop for staff; </w:t>
            </w:r>
          </w:p>
        </w:tc>
        <w:tc>
          <w:tcPr>
            <w:tcW w:w="1420" w:type="dxa"/>
            <w:tcBorders>
              <w:top w:val="nil"/>
              <w:left w:val="nil"/>
              <w:bottom w:val="single" w:sz="4" w:space="0" w:color="auto"/>
              <w:right w:val="single" w:sz="4" w:space="0" w:color="auto"/>
            </w:tcBorders>
            <w:shd w:val="clear" w:color="auto" w:fill="auto"/>
            <w:vAlign w:val="center"/>
            <w:hideMark/>
          </w:tcPr>
          <w:p w14:paraId="6EFC9E8C"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w:t>
            </w:r>
          </w:p>
        </w:tc>
      </w:tr>
      <w:tr w:rsidR="00C47F7F" w:rsidRPr="00C47F7F" w14:paraId="6DDDDB7E"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8DB323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DC Combined </w:t>
            </w:r>
          </w:p>
        </w:tc>
        <w:tc>
          <w:tcPr>
            <w:tcW w:w="5740" w:type="dxa"/>
            <w:tcBorders>
              <w:top w:val="nil"/>
              <w:left w:val="nil"/>
              <w:bottom w:val="single" w:sz="4" w:space="0" w:color="auto"/>
              <w:right w:val="single" w:sz="4" w:space="0" w:color="auto"/>
            </w:tcBorders>
            <w:shd w:val="clear" w:color="auto" w:fill="auto"/>
            <w:vAlign w:val="center"/>
            <w:hideMark/>
          </w:tcPr>
          <w:p w14:paraId="5C22E46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Pre-ETS fiscal; MSG and credential attainment qualifying programs; Policy review</w:t>
            </w:r>
          </w:p>
        </w:tc>
        <w:tc>
          <w:tcPr>
            <w:tcW w:w="1420" w:type="dxa"/>
            <w:tcBorders>
              <w:top w:val="nil"/>
              <w:left w:val="nil"/>
              <w:bottom w:val="single" w:sz="4" w:space="0" w:color="auto"/>
              <w:right w:val="single" w:sz="4" w:space="0" w:color="auto"/>
            </w:tcBorders>
            <w:shd w:val="clear" w:color="auto" w:fill="auto"/>
            <w:vAlign w:val="center"/>
            <w:hideMark/>
          </w:tcPr>
          <w:p w14:paraId="41A18E53"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5</w:t>
            </w:r>
          </w:p>
        </w:tc>
      </w:tr>
      <w:tr w:rsidR="00C47F7F" w:rsidRPr="00C47F7F" w14:paraId="35349894"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33A6CB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Delaware General</w:t>
            </w:r>
          </w:p>
        </w:tc>
        <w:tc>
          <w:tcPr>
            <w:tcW w:w="5740" w:type="dxa"/>
            <w:tcBorders>
              <w:top w:val="nil"/>
              <w:left w:val="nil"/>
              <w:bottom w:val="single" w:sz="4" w:space="0" w:color="auto"/>
              <w:right w:val="single" w:sz="4" w:space="0" w:color="auto"/>
            </w:tcBorders>
            <w:shd w:val="clear" w:color="auto" w:fill="auto"/>
            <w:vAlign w:val="center"/>
            <w:hideMark/>
          </w:tcPr>
          <w:p w14:paraId="2369200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511 system question and answers</w:t>
            </w:r>
          </w:p>
        </w:tc>
        <w:tc>
          <w:tcPr>
            <w:tcW w:w="1420" w:type="dxa"/>
            <w:tcBorders>
              <w:top w:val="nil"/>
              <w:left w:val="nil"/>
              <w:bottom w:val="single" w:sz="4" w:space="0" w:color="auto"/>
              <w:right w:val="single" w:sz="4" w:space="0" w:color="auto"/>
            </w:tcBorders>
            <w:shd w:val="clear" w:color="auto" w:fill="auto"/>
            <w:vAlign w:val="center"/>
            <w:hideMark/>
          </w:tcPr>
          <w:p w14:paraId="12FDFF37"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65AADA83"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DCE371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Florida Blind</w:t>
            </w:r>
          </w:p>
        </w:tc>
        <w:tc>
          <w:tcPr>
            <w:tcW w:w="5740" w:type="dxa"/>
            <w:tcBorders>
              <w:top w:val="nil"/>
              <w:left w:val="nil"/>
              <w:bottom w:val="single" w:sz="4" w:space="0" w:color="auto"/>
              <w:right w:val="single" w:sz="4" w:space="0" w:color="auto"/>
            </w:tcBorders>
            <w:shd w:val="clear" w:color="auto" w:fill="auto"/>
            <w:vAlign w:val="center"/>
            <w:hideMark/>
          </w:tcPr>
          <w:p w14:paraId="2B233DB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MSG reporting  </w:t>
            </w:r>
          </w:p>
        </w:tc>
        <w:tc>
          <w:tcPr>
            <w:tcW w:w="1420" w:type="dxa"/>
            <w:tcBorders>
              <w:top w:val="nil"/>
              <w:left w:val="nil"/>
              <w:bottom w:val="single" w:sz="4" w:space="0" w:color="auto"/>
              <w:right w:val="single" w:sz="4" w:space="0" w:color="auto"/>
            </w:tcBorders>
            <w:shd w:val="clear" w:color="auto" w:fill="auto"/>
            <w:vAlign w:val="center"/>
            <w:hideMark/>
          </w:tcPr>
          <w:p w14:paraId="0203C50B"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03723553"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68DB12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Florida General</w:t>
            </w:r>
          </w:p>
        </w:tc>
        <w:tc>
          <w:tcPr>
            <w:tcW w:w="5740" w:type="dxa"/>
            <w:tcBorders>
              <w:top w:val="nil"/>
              <w:left w:val="nil"/>
              <w:bottom w:val="single" w:sz="4" w:space="0" w:color="auto"/>
              <w:right w:val="single" w:sz="4" w:space="0" w:color="auto"/>
            </w:tcBorders>
            <w:shd w:val="clear" w:color="auto" w:fill="auto"/>
            <w:vAlign w:val="center"/>
            <w:hideMark/>
          </w:tcPr>
          <w:p w14:paraId="64D2F72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Review of data gathering processes and reports; SE policy review; extended services in the IPE</w:t>
            </w:r>
          </w:p>
        </w:tc>
        <w:tc>
          <w:tcPr>
            <w:tcW w:w="1420" w:type="dxa"/>
            <w:tcBorders>
              <w:top w:val="nil"/>
              <w:left w:val="nil"/>
              <w:bottom w:val="single" w:sz="4" w:space="0" w:color="auto"/>
              <w:right w:val="single" w:sz="4" w:space="0" w:color="auto"/>
            </w:tcBorders>
            <w:shd w:val="clear" w:color="auto" w:fill="auto"/>
            <w:vAlign w:val="center"/>
            <w:hideMark/>
          </w:tcPr>
          <w:p w14:paraId="0C611513"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8</w:t>
            </w:r>
          </w:p>
        </w:tc>
      </w:tr>
      <w:tr w:rsidR="00C47F7F" w:rsidRPr="00C47F7F" w14:paraId="14068F01" w14:textId="77777777" w:rsidTr="00C47F7F">
        <w:trPr>
          <w:trHeight w:val="186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F74663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Georgia Combined</w:t>
            </w:r>
          </w:p>
        </w:tc>
        <w:tc>
          <w:tcPr>
            <w:tcW w:w="5740" w:type="dxa"/>
            <w:tcBorders>
              <w:top w:val="nil"/>
              <w:left w:val="nil"/>
              <w:bottom w:val="single" w:sz="4" w:space="0" w:color="auto"/>
              <w:right w:val="single" w:sz="4" w:space="0" w:color="auto"/>
            </w:tcBorders>
            <w:shd w:val="clear" w:color="auto" w:fill="auto"/>
            <w:vAlign w:val="center"/>
            <w:hideMark/>
          </w:tcPr>
          <w:p w14:paraId="3F81A37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Reporting for the PIRL; SRC; TA on the ETA 9169 Annual Performance Report for PY 2020; Effectiveness in serving employers reporting; TA on the Annual Performance report, performance calculations, validating data, calculating funds expended and analyzing data through RSA's quarterly dashboards; </w:t>
            </w:r>
          </w:p>
        </w:tc>
        <w:tc>
          <w:tcPr>
            <w:tcW w:w="1420" w:type="dxa"/>
            <w:tcBorders>
              <w:top w:val="nil"/>
              <w:left w:val="nil"/>
              <w:bottom w:val="single" w:sz="4" w:space="0" w:color="auto"/>
              <w:right w:val="single" w:sz="4" w:space="0" w:color="auto"/>
            </w:tcBorders>
            <w:shd w:val="clear" w:color="auto" w:fill="auto"/>
            <w:vAlign w:val="center"/>
            <w:hideMark/>
          </w:tcPr>
          <w:p w14:paraId="6B681BFC"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17</w:t>
            </w:r>
          </w:p>
        </w:tc>
      </w:tr>
      <w:tr w:rsidR="00C47F7F" w:rsidRPr="00C47F7F" w14:paraId="0E9F9D34"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AA8E7F6"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Hawaii Combined </w:t>
            </w:r>
          </w:p>
        </w:tc>
        <w:tc>
          <w:tcPr>
            <w:tcW w:w="5740" w:type="dxa"/>
            <w:tcBorders>
              <w:top w:val="nil"/>
              <w:left w:val="nil"/>
              <w:bottom w:val="single" w:sz="4" w:space="0" w:color="auto"/>
              <w:right w:val="single" w:sz="4" w:space="0" w:color="auto"/>
            </w:tcBorders>
            <w:shd w:val="clear" w:color="auto" w:fill="auto"/>
            <w:vAlign w:val="center"/>
            <w:hideMark/>
          </w:tcPr>
          <w:p w14:paraId="1CD7B6F7"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CAP response; contract development and revision in response to monitoring; fiscal Q&amp;A; Prior approval; Resources for training fiscal staff; Contract language revision</w:t>
            </w:r>
          </w:p>
        </w:tc>
        <w:tc>
          <w:tcPr>
            <w:tcW w:w="1420" w:type="dxa"/>
            <w:tcBorders>
              <w:top w:val="nil"/>
              <w:left w:val="nil"/>
              <w:bottom w:val="single" w:sz="4" w:space="0" w:color="auto"/>
              <w:right w:val="single" w:sz="4" w:space="0" w:color="auto"/>
            </w:tcBorders>
            <w:shd w:val="clear" w:color="auto" w:fill="auto"/>
            <w:vAlign w:val="center"/>
            <w:hideMark/>
          </w:tcPr>
          <w:p w14:paraId="1A92D91B"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23</w:t>
            </w:r>
          </w:p>
        </w:tc>
      </w:tr>
      <w:tr w:rsidR="00C47F7F" w:rsidRPr="00C47F7F" w14:paraId="5FA9DA47"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C5E96CE"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Idaho Blind</w:t>
            </w:r>
          </w:p>
        </w:tc>
        <w:tc>
          <w:tcPr>
            <w:tcW w:w="5740" w:type="dxa"/>
            <w:tcBorders>
              <w:top w:val="nil"/>
              <w:left w:val="nil"/>
              <w:bottom w:val="single" w:sz="4" w:space="0" w:color="auto"/>
              <w:right w:val="single" w:sz="4" w:space="0" w:color="auto"/>
            </w:tcBorders>
            <w:shd w:val="clear" w:color="auto" w:fill="auto"/>
            <w:vAlign w:val="center"/>
            <w:hideMark/>
          </w:tcPr>
          <w:p w14:paraId="73CC182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Training on the other measures that matter</w:t>
            </w:r>
          </w:p>
        </w:tc>
        <w:tc>
          <w:tcPr>
            <w:tcW w:w="1420" w:type="dxa"/>
            <w:tcBorders>
              <w:top w:val="nil"/>
              <w:left w:val="nil"/>
              <w:bottom w:val="single" w:sz="4" w:space="0" w:color="auto"/>
              <w:right w:val="single" w:sz="4" w:space="0" w:color="auto"/>
            </w:tcBorders>
            <w:shd w:val="clear" w:color="auto" w:fill="auto"/>
            <w:vAlign w:val="center"/>
            <w:hideMark/>
          </w:tcPr>
          <w:p w14:paraId="77C87127"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41</w:t>
            </w:r>
          </w:p>
        </w:tc>
      </w:tr>
      <w:tr w:rsidR="00C47F7F" w:rsidRPr="00C47F7F" w14:paraId="070197DA"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227D267"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lastRenderedPageBreak/>
              <w:t>Idaho General</w:t>
            </w:r>
          </w:p>
        </w:tc>
        <w:tc>
          <w:tcPr>
            <w:tcW w:w="5740" w:type="dxa"/>
            <w:tcBorders>
              <w:top w:val="nil"/>
              <w:left w:val="nil"/>
              <w:bottom w:val="single" w:sz="4" w:space="0" w:color="auto"/>
              <w:right w:val="single" w:sz="4" w:space="0" w:color="auto"/>
            </w:tcBorders>
            <w:shd w:val="clear" w:color="auto" w:fill="auto"/>
            <w:vAlign w:val="center"/>
            <w:hideMark/>
          </w:tcPr>
          <w:p w14:paraId="1CBF6F85"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Monitoring review and debrief; 911 report coding and performance indicator calculations; Contract review; On-the-job supports directly paid to employer; Other measures that matter training</w:t>
            </w:r>
          </w:p>
        </w:tc>
        <w:tc>
          <w:tcPr>
            <w:tcW w:w="1420" w:type="dxa"/>
            <w:tcBorders>
              <w:top w:val="nil"/>
              <w:left w:val="nil"/>
              <w:bottom w:val="single" w:sz="4" w:space="0" w:color="auto"/>
              <w:right w:val="single" w:sz="4" w:space="0" w:color="auto"/>
            </w:tcBorders>
            <w:shd w:val="clear" w:color="auto" w:fill="auto"/>
            <w:vAlign w:val="center"/>
            <w:hideMark/>
          </w:tcPr>
          <w:p w14:paraId="7725FA55"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153</w:t>
            </w:r>
          </w:p>
        </w:tc>
      </w:tr>
      <w:tr w:rsidR="00C47F7F" w:rsidRPr="00C47F7F" w14:paraId="65CE0003" w14:textId="77777777" w:rsidTr="00C47F7F">
        <w:trPr>
          <w:trHeight w:val="155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32B3B2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Indiana Combined</w:t>
            </w:r>
          </w:p>
        </w:tc>
        <w:tc>
          <w:tcPr>
            <w:tcW w:w="5740" w:type="dxa"/>
            <w:tcBorders>
              <w:top w:val="nil"/>
              <w:left w:val="nil"/>
              <w:bottom w:val="single" w:sz="4" w:space="0" w:color="auto"/>
              <w:right w:val="single" w:sz="4" w:space="0" w:color="auto"/>
            </w:tcBorders>
            <w:shd w:val="clear" w:color="auto" w:fill="auto"/>
            <w:vAlign w:val="center"/>
            <w:hideMark/>
          </w:tcPr>
          <w:p w14:paraId="0C89CA9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TA on reporting requirements for secondary education (as a service or not) and the different aspects of in-house, purchased, and comparable services and their reporting parameters and how this intersects with the case management system; Section 511 Q&amp;A</w:t>
            </w:r>
          </w:p>
        </w:tc>
        <w:tc>
          <w:tcPr>
            <w:tcW w:w="1420" w:type="dxa"/>
            <w:tcBorders>
              <w:top w:val="nil"/>
              <w:left w:val="nil"/>
              <w:bottom w:val="single" w:sz="4" w:space="0" w:color="auto"/>
              <w:right w:val="single" w:sz="4" w:space="0" w:color="auto"/>
            </w:tcBorders>
            <w:shd w:val="clear" w:color="auto" w:fill="auto"/>
            <w:vAlign w:val="center"/>
            <w:hideMark/>
          </w:tcPr>
          <w:p w14:paraId="1D2D16BD"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w:t>
            </w:r>
          </w:p>
        </w:tc>
      </w:tr>
      <w:tr w:rsidR="00C47F7F" w:rsidRPr="00C47F7F" w14:paraId="12817F0E" w14:textId="77777777" w:rsidTr="00C47F7F">
        <w:trPr>
          <w:trHeight w:val="93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AE36B8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Iowa Blind</w:t>
            </w:r>
          </w:p>
        </w:tc>
        <w:tc>
          <w:tcPr>
            <w:tcW w:w="5740" w:type="dxa"/>
            <w:tcBorders>
              <w:top w:val="nil"/>
              <w:left w:val="nil"/>
              <w:bottom w:val="single" w:sz="4" w:space="0" w:color="auto"/>
              <w:right w:val="single" w:sz="4" w:space="0" w:color="auto"/>
            </w:tcBorders>
            <w:shd w:val="clear" w:color="auto" w:fill="auto"/>
            <w:vAlign w:val="center"/>
            <w:hideMark/>
          </w:tcPr>
          <w:p w14:paraId="719FE35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Reporting client services, credentials and Measurable Skill Gains, VR process and IPE services; 911 reporting; Eligibility Training</w:t>
            </w:r>
          </w:p>
        </w:tc>
        <w:tc>
          <w:tcPr>
            <w:tcW w:w="1420" w:type="dxa"/>
            <w:tcBorders>
              <w:top w:val="nil"/>
              <w:left w:val="nil"/>
              <w:bottom w:val="single" w:sz="4" w:space="0" w:color="auto"/>
              <w:right w:val="single" w:sz="4" w:space="0" w:color="auto"/>
            </w:tcBorders>
            <w:shd w:val="clear" w:color="auto" w:fill="auto"/>
            <w:vAlign w:val="center"/>
            <w:hideMark/>
          </w:tcPr>
          <w:p w14:paraId="1DE26D22"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14</w:t>
            </w:r>
          </w:p>
        </w:tc>
      </w:tr>
      <w:tr w:rsidR="00C47F7F" w:rsidRPr="00C47F7F" w14:paraId="3FEF5EED"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CF3FD6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Kansas Combined</w:t>
            </w:r>
          </w:p>
        </w:tc>
        <w:tc>
          <w:tcPr>
            <w:tcW w:w="5740" w:type="dxa"/>
            <w:tcBorders>
              <w:top w:val="nil"/>
              <w:left w:val="nil"/>
              <w:bottom w:val="single" w:sz="4" w:space="0" w:color="auto"/>
              <w:right w:val="single" w:sz="4" w:space="0" w:color="auto"/>
            </w:tcBorders>
            <w:shd w:val="clear" w:color="auto" w:fill="auto"/>
            <w:vAlign w:val="center"/>
            <w:hideMark/>
          </w:tcPr>
          <w:p w14:paraId="074E011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Rate setting with Missouri</w:t>
            </w:r>
          </w:p>
        </w:tc>
        <w:tc>
          <w:tcPr>
            <w:tcW w:w="1420" w:type="dxa"/>
            <w:tcBorders>
              <w:top w:val="nil"/>
              <w:left w:val="nil"/>
              <w:bottom w:val="single" w:sz="4" w:space="0" w:color="auto"/>
              <w:right w:val="single" w:sz="4" w:space="0" w:color="auto"/>
            </w:tcBorders>
            <w:shd w:val="clear" w:color="auto" w:fill="auto"/>
            <w:vAlign w:val="center"/>
            <w:hideMark/>
          </w:tcPr>
          <w:p w14:paraId="568B7AB5"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5</w:t>
            </w:r>
          </w:p>
        </w:tc>
      </w:tr>
      <w:tr w:rsidR="00C47F7F" w:rsidRPr="00C47F7F" w14:paraId="47343AFE"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D197686"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Kentucky Combined</w:t>
            </w:r>
          </w:p>
        </w:tc>
        <w:tc>
          <w:tcPr>
            <w:tcW w:w="5740" w:type="dxa"/>
            <w:tcBorders>
              <w:top w:val="nil"/>
              <w:left w:val="nil"/>
              <w:bottom w:val="single" w:sz="4" w:space="0" w:color="auto"/>
              <w:right w:val="single" w:sz="4" w:space="0" w:color="auto"/>
            </w:tcBorders>
            <w:shd w:val="clear" w:color="auto" w:fill="auto"/>
            <w:vAlign w:val="center"/>
            <w:hideMark/>
          </w:tcPr>
          <w:p w14:paraId="34E4D70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Monitoring preparation; Monitoring participation; Internal control review; fiscal monitoring; OOS; prior approval and carryover; Rate setting methodologies; Establishment Projects; Out of country tuition;</w:t>
            </w:r>
          </w:p>
        </w:tc>
        <w:tc>
          <w:tcPr>
            <w:tcW w:w="1420" w:type="dxa"/>
            <w:tcBorders>
              <w:top w:val="nil"/>
              <w:left w:val="nil"/>
              <w:bottom w:val="single" w:sz="4" w:space="0" w:color="auto"/>
              <w:right w:val="single" w:sz="4" w:space="0" w:color="auto"/>
            </w:tcBorders>
            <w:shd w:val="clear" w:color="auto" w:fill="auto"/>
            <w:vAlign w:val="center"/>
            <w:hideMark/>
          </w:tcPr>
          <w:p w14:paraId="4A1949E2"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72</w:t>
            </w:r>
          </w:p>
        </w:tc>
      </w:tr>
      <w:tr w:rsidR="00C47F7F" w:rsidRPr="00C47F7F" w14:paraId="48C926DC"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9C7FE96"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Maryland Combined </w:t>
            </w:r>
          </w:p>
        </w:tc>
        <w:tc>
          <w:tcPr>
            <w:tcW w:w="5740" w:type="dxa"/>
            <w:tcBorders>
              <w:top w:val="nil"/>
              <w:left w:val="nil"/>
              <w:bottom w:val="single" w:sz="4" w:space="0" w:color="auto"/>
              <w:right w:val="single" w:sz="4" w:space="0" w:color="auto"/>
            </w:tcBorders>
            <w:shd w:val="clear" w:color="auto" w:fill="auto"/>
            <w:vAlign w:val="center"/>
            <w:hideMark/>
          </w:tcPr>
          <w:p w14:paraId="487E91F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Transition tracking; SWOT analysis data sharing with PSE</w:t>
            </w:r>
          </w:p>
        </w:tc>
        <w:tc>
          <w:tcPr>
            <w:tcW w:w="1420" w:type="dxa"/>
            <w:tcBorders>
              <w:top w:val="nil"/>
              <w:left w:val="nil"/>
              <w:bottom w:val="single" w:sz="4" w:space="0" w:color="auto"/>
              <w:right w:val="single" w:sz="4" w:space="0" w:color="auto"/>
            </w:tcBorders>
            <w:shd w:val="clear" w:color="auto" w:fill="auto"/>
            <w:vAlign w:val="center"/>
            <w:hideMark/>
          </w:tcPr>
          <w:p w14:paraId="3AB18F09"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16</w:t>
            </w:r>
          </w:p>
        </w:tc>
      </w:tr>
      <w:tr w:rsidR="00C47F7F" w:rsidRPr="00C47F7F" w14:paraId="2EAA1940"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7E4908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Michigan Blind</w:t>
            </w:r>
          </w:p>
        </w:tc>
        <w:tc>
          <w:tcPr>
            <w:tcW w:w="5740" w:type="dxa"/>
            <w:tcBorders>
              <w:top w:val="nil"/>
              <w:left w:val="nil"/>
              <w:bottom w:val="single" w:sz="4" w:space="0" w:color="auto"/>
              <w:right w:val="single" w:sz="4" w:space="0" w:color="auto"/>
            </w:tcBorders>
            <w:shd w:val="clear" w:color="auto" w:fill="auto"/>
            <w:vAlign w:val="center"/>
            <w:hideMark/>
          </w:tcPr>
          <w:p w14:paraId="468A47C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Transfer of funds between general and blind agencies; SE policy review; TA on MSGs and credential attainment; Short-term basis for SE; Cost allocation; CE sustainability; Staff allocation;</w:t>
            </w:r>
          </w:p>
        </w:tc>
        <w:tc>
          <w:tcPr>
            <w:tcW w:w="1420" w:type="dxa"/>
            <w:tcBorders>
              <w:top w:val="nil"/>
              <w:left w:val="nil"/>
              <w:bottom w:val="single" w:sz="4" w:space="0" w:color="auto"/>
              <w:right w:val="single" w:sz="4" w:space="0" w:color="auto"/>
            </w:tcBorders>
            <w:shd w:val="clear" w:color="auto" w:fill="auto"/>
            <w:vAlign w:val="center"/>
            <w:hideMark/>
          </w:tcPr>
          <w:p w14:paraId="41EFFC2D"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14</w:t>
            </w:r>
          </w:p>
        </w:tc>
      </w:tr>
      <w:tr w:rsidR="00C47F7F" w:rsidRPr="00C47F7F" w14:paraId="04105604"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E9769FE"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Michigan General</w:t>
            </w:r>
          </w:p>
        </w:tc>
        <w:tc>
          <w:tcPr>
            <w:tcW w:w="5740" w:type="dxa"/>
            <w:tcBorders>
              <w:top w:val="nil"/>
              <w:left w:val="nil"/>
              <w:bottom w:val="single" w:sz="4" w:space="0" w:color="auto"/>
              <w:right w:val="single" w:sz="4" w:space="0" w:color="auto"/>
            </w:tcBorders>
            <w:shd w:val="clear" w:color="auto" w:fill="auto"/>
            <w:vAlign w:val="center"/>
            <w:hideMark/>
          </w:tcPr>
          <w:p w14:paraId="21CA0287"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Credential attainment qualifying certificate programs; CE sustainability; MSG calculations; SE fiscal TA</w:t>
            </w:r>
          </w:p>
        </w:tc>
        <w:tc>
          <w:tcPr>
            <w:tcW w:w="1420" w:type="dxa"/>
            <w:tcBorders>
              <w:top w:val="nil"/>
              <w:left w:val="nil"/>
              <w:bottom w:val="single" w:sz="4" w:space="0" w:color="auto"/>
              <w:right w:val="single" w:sz="4" w:space="0" w:color="auto"/>
            </w:tcBorders>
            <w:shd w:val="clear" w:color="auto" w:fill="auto"/>
            <w:vAlign w:val="center"/>
            <w:hideMark/>
          </w:tcPr>
          <w:p w14:paraId="5DCFB2EF"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7</w:t>
            </w:r>
          </w:p>
        </w:tc>
      </w:tr>
      <w:tr w:rsidR="00C47F7F" w:rsidRPr="00C47F7F" w14:paraId="55490F21" w14:textId="77777777" w:rsidTr="00C47F7F">
        <w:trPr>
          <w:trHeight w:val="93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1C08D1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Minnesota Blind </w:t>
            </w:r>
          </w:p>
        </w:tc>
        <w:tc>
          <w:tcPr>
            <w:tcW w:w="5740" w:type="dxa"/>
            <w:tcBorders>
              <w:top w:val="nil"/>
              <w:left w:val="nil"/>
              <w:bottom w:val="single" w:sz="4" w:space="0" w:color="auto"/>
              <w:right w:val="single" w:sz="4" w:space="0" w:color="auto"/>
            </w:tcBorders>
            <w:shd w:val="clear" w:color="auto" w:fill="auto"/>
            <w:vAlign w:val="center"/>
            <w:hideMark/>
          </w:tcPr>
          <w:p w14:paraId="52F1FA6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3rd party financial/budgeting tools; Payment of wages in OJTs-policy development; Credential attainment and MSG reporting IPE requirements</w:t>
            </w:r>
          </w:p>
        </w:tc>
        <w:tc>
          <w:tcPr>
            <w:tcW w:w="1420" w:type="dxa"/>
            <w:tcBorders>
              <w:top w:val="nil"/>
              <w:left w:val="nil"/>
              <w:bottom w:val="single" w:sz="4" w:space="0" w:color="auto"/>
              <w:right w:val="single" w:sz="4" w:space="0" w:color="auto"/>
            </w:tcBorders>
            <w:shd w:val="clear" w:color="auto" w:fill="auto"/>
            <w:vAlign w:val="center"/>
            <w:hideMark/>
          </w:tcPr>
          <w:p w14:paraId="281F5693"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3</w:t>
            </w:r>
          </w:p>
        </w:tc>
      </w:tr>
      <w:tr w:rsidR="00C47F7F" w:rsidRPr="00C47F7F" w14:paraId="7249A1B8"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ED65AF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Minnesota General</w:t>
            </w:r>
          </w:p>
        </w:tc>
        <w:tc>
          <w:tcPr>
            <w:tcW w:w="5740" w:type="dxa"/>
            <w:tcBorders>
              <w:top w:val="nil"/>
              <w:left w:val="nil"/>
              <w:bottom w:val="single" w:sz="4" w:space="0" w:color="auto"/>
              <w:right w:val="single" w:sz="4" w:space="0" w:color="auto"/>
            </w:tcBorders>
            <w:shd w:val="clear" w:color="auto" w:fill="auto"/>
            <w:vAlign w:val="center"/>
            <w:hideMark/>
          </w:tcPr>
          <w:p w14:paraId="306DEC1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Program Income transfers to IL</w:t>
            </w:r>
          </w:p>
        </w:tc>
        <w:tc>
          <w:tcPr>
            <w:tcW w:w="1420" w:type="dxa"/>
            <w:tcBorders>
              <w:top w:val="nil"/>
              <w:left w:val="nil"/>
              <w:bottom w:val="single" w:sz="4" w:space="0" w:color="auto"/>
              <w:right w:val="single" w:sz="4" w:space="0" w:color="auto"/>
            </w:tcBorders>
            <w:shd w:val="clear" w:color="auto" w:fill="auto"/>
            <w:vAlign w:val="center"/>
            <w:hideMark/>
          </w:tcPr>
          <w:p w14:paraId="0405EC5F"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2AFFAB97"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DCE0C4E"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Mississippi Combined </w:t>
            </w:r>
          </w:p>
        </w:tc>
        <w:tc>
          <w:tcPr>
            <w:tcW w:w="5740" w:type="dxa"/>
            <w:tcBorders>
              <w:top w:val="nil"/>
              <w:left w:val="nil"/>
              <w:bottom w:val="single" w:sz="4" w:space="0" w:color="auto"/>
              <w:right w:val="single" w:sz="4" w:space="0" w:color="auto"/>
            </w:tcBorders>
            <w:shd w:val="clear" w:color="auto" w:fill="auto"/>
            <w:vAlign w:val="center"/>
            <w:hideMark/>
          </w:tcPr>
          <w:p w14:paraId="34BAB49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Expedited eligibility; </w:t>
            </w:r>
          </w:p>
        </w:tc>
        <w:tc>
          <w:tcPr>
            <w:tcW w:w="1420" w:type="dxa"/>
            <w:tcBorders>
              <w:top w:val="nil"/>
              <w:left w:val="nil"/>
              <w:bottom w:val="single" w:sz="4" w:space="0" w:color="auto"/>
              <w:right w:val="single" w:sz="4" w:space="0" w:color="auto"/>
            </w:tcBorders>
            <w:shd w:val="clear" w:color="auto" w:fill="auto"/>
            <w:vAlign w:val="center"/>
            <w:hideMark/>
          </w:tcPr>
          <w:p w14:paraId="79AE33A1"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5A1C7C97"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D667C5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Missouri General</w:t>
            </w:r>
          </w:p>
        </w:tc>
        <w:tc>
          <w:tcPr>
            <w:tcW w:w="5740" w:type="dxa"/>
            <w:tcBorders>
              <w:top w:val="nil"/>
              <w:left w:val="nil"/>
              <w:bottom w:val="single" w:sz="4" w:space="0" w:color="auto"/>
              <w:right w:val="single" w:sz="4" w:space="0" w:color="auto"/>
            </w:tcBorders>
            <w:shd w:val="clear" w:color="auto" w:fill="auto"/>
            <w:vAlign w:val="center"/>
            <w:hideMark/>
          </w:tcPr>
          <w:p w14:paraId="4FBC4608"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Rate setting with Kansas; MSG data analysis; Section 511 processes;</w:t>
            </w:r>
          </w:p>
        </w:tc>
        <w:tc>
          <w:tcPr>
            <w:tcW w:w="1420" w:type="dxa"/>
            <w:tcBorders>
              <w:top w:val="nil"/>
              <w:left w:val="nil"/>
              <w:bottom w:val="single" w:sz="4" w:space="0" w:color="auto"/>
              <w:right w:val="single" w:sz="4" w:space="0" w:color="auto"/>
            </w:tcBorders>
            <w:shd w:val="clear" w:color="auto" w:fill="auto"/>
            <w:vAlign w:val="center"/>
            <w:hideMark/>
          </w:tcPr>
          <w:p w14:paraId="04D77E7F"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8</w:t>
            </w:r>
          </w:p>
        </w:tc>
      </w:tr>
      <w:tr w:rsidR="00C47F7F" w:rsidRPr="00C47F7F" w14:paraId="27C7ED27"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1E49E6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Multiple States</w:t>
            </w:r>
          </w:p>
        </w:tc>
        <w:tc>
          <w:tcPr>
            <w:tcW w:w="5740" w:type="dxa"/>
            <w:tcBorders>
              <w:top w:val="nil"/>
              <w:left w:val="nil"/>
              <w:bottom w:val="single" w:sz="4" w:space="0" w:color="auto"/>
              <w:right w:val="single" w:sz="4" w:space="0" w:color="auto"/>
            </w:tcBorders>
            <w:shd w:val="clear" w:color="auto" w:fill="auto"/>
            <w:vAlign w:val="center"/>
            <w:hideMark/>
          </w:tcPr>
          <w:p w14:paraId="0A9C837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Staff training CoP</w:t>
            </w:r>
          </w:p>
        </w:tc>
        <w:tc>
          <w:tcPr>
            <w:tcW w:w="1420" w:type="dxa"/>
            <w:tcBorders>
              <w:top w:val="nil"/>
              <w:left w:val="nil"/>
              <w:bottom w:val="single" w:sz="4" w:space="0" w:color="auto"/>
              <w:right w:val="single" w:sz="4" w:space="0" w:color="auto"/>
            </w:tcBorders>
            <w:shd w:val="clear" w:color="auto" w:fill="auto"/>
            <w:vAlign w:val="center"/>
            <w:hideMark/>
          </w:tcPr>
          <w:p w14:paraId="316C6E15"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30</w:t>
            </w:r>
          </w:p>
        </w:tc>
      </w:tr>
      <w:tr w:rsidR="00C47F7F" w:rsidRPr="00C47F7F" w14:paraId="59999BB5"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BE1BC9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Multiple States</w:t>
            </w:r>
          </w:p>
        </w:tc>
        <w:tc>
          <w:tcPr>
            <w:tcW w:w="5740" w:type="dxa"/>
            <w:tcBorders>
              <w:top w:val="nil"/>
              <w:left w:val="nil"/>
              <w:bottom w:val="single" w:sz="4" w:space="0" w:color="auto"/>
              <w:right w:val="single" w:sz="4" w:space="0" w:color="auto"/>
            </w:tcBorders>
            <w:shd w:val="clear" w:color="auto" w:fill="auto"/>
            <w:vAlign w:val="center"/>
            <w:hideMark/>
          </w:tcPr>
          <w:p w14:paraId="5E0DF63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Monitoring CoP</w:t>
            </w:r>
          </w:p>
        </w:tc>
        <w:tc>
          <w:tcPr>
            <w:tcW w:w="1420" w:type="dxa"/>
            <w:tcBorders>
              <w:top w:val="nil"/>
              <w:left w:val="nil"/>
              <w:bottom w:val="single" w:sz="4" w:space="0" w:color="auto"/>
              <w:right w:val="single" w:sz="4" w:space="0" w:color="auto"/>
            </w:tcBorders>
            <w:shd w:val="clear" w:color="auto" w:fill="auto"/>
            <w:vAlign w:val="center"/>
            <w:hideMark/>
          </w:tcPr>
          <w:p w14:paraId="58AC0070"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32</w:t>
            </w:r>
          </w:p>
        </w:tc>
      </w:tr>
      <w:tr w:rsidR="00C47F7F" w:rsidRPr="00C47F7F" w14:paraId="785F8113"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4F7527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Nebraska Blind</w:t>
            </w:r>
          </w:p>
        </w:tc>
        <w:tc>
          <w:tcPr>
            <w:tcW w:w="5740" w:type="dxa"/>
            <w:tcBorders>
              <w:top w:val="nil"/>
              <w:left w:val="nil"/>
              <w:bottom w:val="single" w:sz="4" w:space="0" w:color="auto"/>
              <w:right w:val="single" w:sz="4" w:space="0" w:color="auto"/>
            </w:tcBorders>
            <w:shd w:val="clear" w:color="auto" w:fill="auto"/>
            <w:vAlign w:val="center"/>
            <w:hideMark/>
          </w:tcPr>
          <w:p w14:paraId="4F242FD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and procedure review; Allowable SE expenses; staff time and effort reporting</w:t>
            </w:r>
          </w:p>
        </w:tc>
        <w:tc>
          <w:tcPr>
            <w:tcW w:w="1420" w:type="dxa"/>
            <w:tcBorders>
              <w:top w:val="nil"/>
              <w:left w:val="nil"/>
              <w:bottom w:val="single" w:sz="4" w:space="0" w:color="auto"/>
              <w:right w:val="single" w:sz="4" w:space="0" w:color="auto"/>
            </w:tcBorders>
            <w:shd w:val="clear" w:color="auto" w:fill="auto"/>
            <w:vAlign w:val="center"/>
            <w:hideMark/>
          </w:tcPr>
          <w:p w14:paraId="3A4B5DF0"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6</w:t>
            </w:r>
          </w:p>
        </w:tc>
      </w:tr>
      <w:tr w:rsidR="00C47F7F" w:rsidRPr="00C47F7F" w14:paraId="18C83A6D"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2E79B4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Nebraska General</w:t>
            </w:r>
          </w:p>
        </w:tc>
        <w:tc>
          <w:tcPr>
            <w:tcW w:w="5740" w:type="dxa"/>
            <w:tcBorders>
              <w:top w:val="nil"/>
              <w:left w:val="nil"/>
              <w:bottom w:val="single" w:sz="4" w:space="0" w:color="auto"/>
              <w:right w:val="single" w:sz="4" w:space="0" w:color="auto"/>
            </w:tcBorders>
            <w:shd w:val="clear" w:color="auto" w:fill="auto"/>
            <w:vAlign w:val="center"/>
            <w:hideMark/>
          </w:tcPr>
          <w:p w14:paraId="0A3CE9D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911 reporting</w:t>
            </w:r>
          </w:p>
        </w:tc>
        <w:tc>
          <w:tcPr>
            <w:tcW w:w="1420" w:type="dxa"/>
            <w:tcBorders>
              <w:top w:val="nil"/>
              <w:left w:val="nil"/>
              <w:bottom w:val="single" w:sz="4" w:space="0" w:color="auto"/>
              <w:right w:val="single" w:sz="4" w:space="0" w:color="auto"/>
            </w:tcBorders>
            <w:shd w:val="clear" w:color="auto" w:fill="auto"/>
            <w:vAlign w:val="center"/>
            <w:hideMark/>
          </w:tcPr>
          <w:p w14:paraId="5DE44216"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5</w:t>
            </w:r>
          </w:p>
        </w:tc>
      </w:tr>
      <w:tr w:rsidR="00C47F7F" w:rsidRPr="00C47F7F" w14:paraId="1C9EED97"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4761621"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lastRenderedPageBreak/>
              <w:t>Nevada Combined</w:t>
            </w:r>
          </w:p>
        </w:tc>
        <w:tc>
          <w:tcPr>
            <w:tcW w:w="5740" w:type="dxa"/>
            <w:tcBorders>
              <w:top w:val="nil"/>
              <w:left w:val="nil"/>
              <w:bottom w:val="single" w:sz="4" w:space="0" w:color="auto"/>
              <w:right w:val="single" w:sz="4" w:space="0" w:color="auto"/>
            </w:tcBorders>
            <w:shd w:val="clear" w:color="auto" w:fill="auto"/>
            <w:vAlign w:val="center"/>
            <w:hideMark/>
          </w:tcPr>
          <w:p w14:paraId="513BC21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Strategic planning</w:t>
            </w:r>
          </w:p>
        </w:tc>
        <w:tc>
          <w:tcPr>
            <w:tcW w:w="1420" w:type="dxa"/>
            <w:tcBorders>
              <w:top w:val="nil"/>
              <w:left w:val="nil"/>
              <w:bottom w:val="single" w:sz="4" w:space="0" w:color="auto"/>
              <w:right w:val="single" w:sz="4" w:space="0" w:color="auto"/>
            </w:tcBorders>
            <w:shd w:val="clear" w:color="auto" w:fill="auto"/>
            <w:vAlign w:val="center"/>
            <w:hideMark/>
          </w:tcPr>
          <w:p w14:paraId="7C928901"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7B094E71"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80D880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New Hampshire Combined</w:t>
            </w:r>
          </w:p>
        </w:tc>
        <w:tc>
          <w:tcPr>
            <w:tcW w:w="5740" w:type="dxa"/>
            <w:tcBorders>
              <w:top w:val="nil"/>
              <w:left w:val="nil"/>
              <w:bottom w:val="single" w:sz="4" w:space="0" w:color="auto"/>
              <w:right w:val="single" w:sz="4" w:space="0" w:color="auto"/>
            </w:tcBorders>
            <w:shd w:val="clear" w:color="auto" w:fill="auto"/>
            <w:vAlign w:val="center"/>
            <w:hideMark/>
          </w:tcPr>
          <w:p w14:paraId="5A27798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Quality assurance</w:t>
            </w:r>
          </w:p>
        </w:tc>
        <w:tc>
          <w:tcPr>
            <w:tcW w:w="1420" w:type="dxa"/>
            <w:tcBorders>
              <w:top w:val="nil"/>
              <w:left w:val="nil"/>
              <w:bottom w:val="single" w:sz="4" w:space="0" w:color="auto"/>
              <w:right w:val="single" w:sz="4" w:space="0" w:color="auto"/>
            </w:tcBorders>
            <w:shd w:val="clear" w:color="auto" w:fill="auto"/>
            <w:vAlign w:val="center"/>
            <w:hideMark/>
          </w:tcPr>
          <w:p w14:paraId="376D66B0"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0F5A42E6"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F134375" w14:textId="77777777" w:rsidR="00C47F7F" w:rsidRPr="00C47F7F" w:rsidRDefault="00C47F7F" w:rsidP="00C47F7F">
            <w:pPr>
              <w:spacing w:after="0" w:line="240" w:lineRule="auto"/>
              <w:rPr>
                <w:rFonts w:eastAsia="Times New Roman"/>
              </w:rPr>
            </w:pPr>
            <w:r w:rsidRPr="00C47F7F">
              <w:rPr>
                <w:rFonts w:eastAsia="Times New Roman"/>
              </w:rPr>
              <w:t>New Mexico General</w:t>
            </w:r>
          </w:p>
        </w:tc>
        <w:tc>
          <w:tcPr>
            <w:tcW w:w="5740" w:type="dxa"/>
            <w:tcBorders>
              <w:top w:val="nil"/>
              <w:left w:val="nil"/>
              <w:bottom w:val="single" w:sz="4" w:space="0" w:color="auto"/>
              <w:right w:val="single" w:sz="4" w:space="0" w:color="auto"/>
            </w:tcBorders>
            <w:shd w:val="clear" w:color="auto" w:fill="auto"/>
            <w:vAlign w:val="center"/>
            <w:hideMark/>
          </w:tcPr>
          <w:p w14:paraId="110FA378" w14:textId="77777777" w:rsidR="00C47F7F" w:rsidRPr="00C47F7F" w:rsidRDefault="00C47F7F" w:rsidP="00C47F7F">
            <w:pPr>
              <w:spacing w:after="0" w:line="240" w:lineRule="auto"/>
              <w:rPr>
                <w:rFonts w:eastAsia="Times New Roman"/>
              </w:rPr>
            </w:pPr>
            <w:r w:rsidRPr="00C47F7F">
              <w:rPr>
                <w:rFonts w:eastAsia="Times New Roman"/>
              </w:rPr>
              <w:t xml:space="preserve">Pre-ETS </w:t>
            </w:r>
            <w:proofErr w:type="gramStart"/>
            <w:r w:rsidRPr="00C47F7F">
              <w:rPr>
                <w:rFonts w:eastAsia="Times New Roman"/>
              </w:rPr>
              <w:t>fiscal;  IPE</w:t>
            </w:r>
            <w:proofErr w:type="gramEnd"/>
            <w:r w:rsidRPr="00C47F7F">
              <w:rPr>
                <w:rFonts w:eastAsia="Times New Roman"/>
              </w:rPr>
              <w:t xml:space="preserve"> development</w:t>
            </w:r>
          </w:p>
        </w:tc>
        <w:tc>
          <w:tcPr>
            <w:tcW w:w="1420" w:type="dxa"/>
            <w:tcBorders>
              <w:top w:val="nil"/>
              <w:left w:val="nil"/>
              <w:bottom w:val="single" w:sz="4" w:space="0" w:color="auto"/>
              <w:right w:val="single" w:sz="4" w:space="0" w:color="auto"/>
            </w:tcBorders>
            <w:shd w:val="clear" w:color="auto" w:fill="auto"/>
            <w:vAlign w:val="center"/>
            <w:hideMark/>
          </w:tcPr>
          <w:p w14:paraId="1FFEDC68" w14:textId="77777777" w:rsidR="00C47F7F" w:rsidRPr="00C47F7F" w:rsidRDefault="00C47F7F" w:rsidP="00C47F7F">
            <w:pPr>
              <w:spacing w:after="0" w:line="240" w:lineRule="auto"/>
              <w:jc w:val="right"/>
              <w:rPr>
                <w:rFonts w:eastAsia="Times New Roman"/>
              </w:rPr>
            </w:pPr>
            <w:r w:rsidRPr="00C47F7F">
              <w:rPr>
                <w:rFonts w:eastAsia="Times New Roman"/>
              </w:rPr>
              <w:t>2</w:t>
            </w:r>
          </w:p>
        </w:tc>
      </w:tr>
      <w:tr w:rsidR="00C47F7F" w:rsidRPr="00C47F7F" w14:paraId="240074BD"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4C51F1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New York Blind</w:t>
            </w:r>
          </w:p>
        </w:tc>
        <w:tc>
          <w:tcPr>
            <w:tcW w:w="5740" w:type="dxa"/>
            <w:tcBorders>
              <w:top w:val="nil"/>
              <w:left w:val="nil"/>
              <w:bottom w:val="single" w:sz="4" w:space="0" w:color="auto"/>
              <w:right w:val="single" w:sz="4" w:space="0" w:color="auto"/>
            </w:tcBorders>
            <w:shd w:val="clear" w:color="auto" w:fill="auto"/>
            <w:vAlign w:val="center"/>
            <w:hideMark/>
          </w:tcPr>
          <w:p w14:paraId="69475FC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WIOA Performance Accountability Training; </w:t>
            </w:r>
          </w:p>
        </w:tc>
        <w:tc>
          <w:tcPr>
            <w:tcW w:w="1420" w:type="dxa"/>
            <w:tcBorders>
              <w:top w:val="nil"/>
              <w:left w:val="nil"/>
              <w:bottom w:val="single" w:sz="4" w:space="0" w:color="auto"/>
              <w:right w:val="single" w:sz="4" w:space="0" w:color="auto"/>
            </w:tcBorders>
            <w:shd w:val="clear" w:color="auto" w:fill="auto"/>
            <w:vAlign w:val="center"/>
            <w:hideMark/>
          </w:tcPr>
          <w:p w14:paraId="7232DACA"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75</w:t>
            </w:r>
          </w:p>
        </w:tc>
      </w:tr>
      <w:tr w:rsidR="00C47F7F" w:rsidRPr="00C47F7F" w14:paraId="09FFA258"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08B4C27"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North Carolina Blind</w:t>
            </w:r>
          </w:p>
        </w:tc>
        <w:tc>
          <w:tcPr>
            <w:tcW w:w="5740" w:type="dxa"/>
            <w:tcBorders>
              <w:top w:val="nil"/>
              <w:left w:val="nil"/>
              <w:bottom w:val="single" w:sz="4" w:space="0" w:color="auto"/>
              <w:right w:val="single" w:sz="4" w:space="0" w:color="auto"/>
            </w:tcBorders>
            <w:shd w:val="clear" w:color="auto" w:fill="auto"/>
            <w:vAlign w:val="center"/>
            <w:hideMark/>
          </w:tcPr>
          <w:p w14:paraId="3AF557A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OJT and MSG definitions and parameters</w:t>
            </w:r>
          </w:p>
        </w:tc>
        <w:tc>
          <w:tcPr>
            <w:tcW w:w="1420" w:type="dxa"/>
            <w:tcBorders>
              <w:top w:val="nil"/>
              <w:left w:val="nil"/>
              <w:bottom w:val="single" w:sz="4" w:space="0" w:color="auto"/>
              <w:right w:val="single" w:sz="4" w:space="0" w:color="auto"/>
            </w:tcBorders>
            <w:shd w:val="clear" w:color="auto" w:fill="auto"/>
            <w:vAlign w:val="center"/>
            <w:hideMark/>
          </w:tcPr>
          <w:p w14:paraId="713143B6"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5</w:t>
            </w:r>
          </w:p>
        </w:tc>
      </w:tr>
      <w:tr w:rsidR="00C47F7F" w:rsidRPr="00C47F7F" w14:paraId="6840BAC5"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F03BBF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North Dakota Combined</w:t>
            </w:r>
          </w:p>
        </w:tc>
        <w:tc>
          <w:tcPr>
            <w:tcW w:w="5740" w:type="dxa"/>
            <w:tcBorders>
              <w:top w:val="nil"/>
              <w:left w:val="nil"/>
              <w:bottom w:val="single" w:sz="4" w:space="0" w:color="auto"/>
              <w:right w:val="single" w:sz="4" w:space="0" w:color="auto"/>
            </w:tcBorders>
            <w:shd w:val="clear" w:color="auto" w:fill="auto"/>
            <w:vAlign w:val="center"/>
            <w:hideMark/>
          </w:tcPr>
          <w:p w14:paraId="3D4E12A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review related to purchasing equipment and valuing of the equipment</w:t>
            </w:r>
          </w:p>
        </w:tc>
        <w:tc>
          <w:tcPr>
            <w:tcW w:w="1420" w:type="dxa"/>
            <w:tcBorders>
              <w:top w:val="nil"/>
              <w:left w:val="nil"/>
              <w:bottom w:val="single" w:sz="4" w:space="0" w:color="auto"/>
              <w:right w:val="single" w:sz="4" w:space="0" w:color="auto"/>
            </w:tcBorders>
            <w:shd w:val="clear" w:color="auto" w:fill="auto"/>
            <w:vAlign w:val="center"/>
            <w:hideMark/>
          </w:tcPr>
          <w:p w14:paraId="772F2F91"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7A7B634B"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64A036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Oklahoma Combined </w:t>
            </w:r>
          </w:p>
        </w:tc>
        <w:tc>
          <w:tcPr>
            <w:tcW w:w="5740" w:type="dxa"/>
            <w:tcBorders>
              <w:top w:val="nil"/>
              <w:left w:val="nil"/>
              <w:bottom w:val="single" w:sz="4" w:space="0" w:color="auto"/>
              <w:right w:val="single" w:sz="4" w:space="0" w:color="auto"/>
            </w:tcBorders>
            <w:shd w:val="clear" w:color="auto" w:fill="auto"/>
            <w:vAlign w:val="center"/>
            <w:hideMark/>
          </w:tcPr>
          <w:p w14:paraId="3070D56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Sustaining CE</w:t>
            </w:r>
          </w:p>
        </w:tc>
        <w:tc>
          <w:tcPr>
            <w:tcW w:w="1420" w:type="dxa"/>
            <w:tcBorders>
              <w:top w:val="nil"/>
              <w:left w:val="nil"/>
              <w:bottom w:val="single" w:sz="4" w:space="0" w:color="auto"/>
              <w:right w:val="single" w:sz="4" w:space="0" w:color="auto"/>
            </w:tcBorders>
            <w:shd w:val="clear" w:color="auto" w:fill="auto"/>
            <w:vAlign w:val="center"/>
            <w:hideMark/>
          </w:tcPr>
          <w:p w14:paraId="73B82549"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8</w:t>
            </w:r>
          </w:p>
        </w:tc>
      </w:tr>
      <w:tr w:rsidR="00C47F7F" w:rsidRPr="00C47F7F" w14:paraId="28789A60"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A9D252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Pennsylvania Combined</w:t>
            </w:r>
          </w:p>
        </w:tc>
        <w:tc>
          <w:tcPr>
            <w:tcW w:w="5740" w:type="dxa"/>
            <w:tcBorders>
              <w:top w:val="nil"/>
              <w:left w:val="nil"/>
              <w:bottom w:val="single" w:sz="4" w:space="0" w:color="auto"/>
              <w:right w:val="single" w:sz="4" w:space="0" w:color="auto"/>
            </w:tcBorders>
            <w:shd w:val="clear" w:color="auto" w:fill="auto"/>
            <w:vAlign w:val="center"/>
            <w:hideMark/>
          </w:tcPr>
          <w:p w14:paraId="29A78BE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Proposal review for coordinator position between VR and ED; TWE in CE; </w:t>
            </w:r>
          </w:p>
        </w:tc>
        <w:tc>
          <w:tcPr>
            <w:tcW w:w="1420" w:type="dxa"/>
            <w:tcBorders>
              <w:top w:val="nil"/>
              <w:left w:val="nil"/>
              <w:bottom w:val="single" w:sz="4" w:space="0" w:color="auto"/>
              <w:right w:val="single" w:sz="4" w:space="0" w:color="auto"/>
            </w:tcBorders>
            <w:shd w:val="clear" w:color="auto" w:fill="auto"/>
            <w:vAlign w:val="center"/>
            <w:hideMark/>
          </w:tcPr>
          <w:p w14:paraId="1BAF2058"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8</w:t>
            </w:r>
          </w:p>
        </w:tc>
      </w:tr>
      <w:tr w:rsidR="00C47F7F" w:rsidRPr="00C47F7F" w14:paraId="6B1BEBAE"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5C7168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Rhode Island Combined</w:t>
            </w:r>
          </w:p>
        </w:tc>
        <w:tc>
          <w:tcPr>
            <w:tcW w:w="5740" w:type="dxa"/>
            <w:tcBorders>
              <w:top w:val="nil"/>
              <w:left w:val="nil"/>
              <w:bottom w:val="single" w:sz="4" w:space="0" w:color="auto"/>
              <w:right w:val="single" w:sz="4" w:space="0" w:color="auto"/>
            </w:tcBorders>
            <w:shd w:val="clear" w:color="auto" w:fill="auto"/>
            <w:vAlign w:val="center"/>
            <w:hideMark/>
          </w:tcPr>
          <w:p w14:paraId="31B77DE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DRAAN Training; Managing the 15% reserve</w:t>
            </w:r>
          </w:p>
        </w:tc>
        <w:tc>
          <w:tcPr>
            <w:tcW w:w="1420" w:type="dxa"/>
            <w:tcBorders>
              <w:top w:val="nil"/>
              <w:left w:val="nil"/>
              <w:bottom w:val="single" w:sz="4" w:space="0" w:color="auto"/>
              <w:right w:val="single" w:sz="4" w:space="0" w:color="auto"/>
            </w:tcBorders>
            <w:shd w:val="clear" w:color="auto" w:fill="auto"/>
            <w:vAlign w:val="center"/>
            <w:hideMark/>
          </w:tcPr>
          <w:p w14:paraId="6766BADF"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21</w:t>
            </w:r>
          </w:p>
        </w:tc>
      </w:tr>
      <w:tr w:rsidR="00C47F7F" w:rsidRPr="00C47F7F" w14:paraId="306A4D42" w14:textId="77777777" w:rsidTr="00C47F7F">
        <w:trPr>
          <w:trHeight w:val="155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92D56E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South Carolina General</w:t>
            </w:r>
          </w:p>
        </w:tc>
        <w:tc>
          <w:tcPr>
            <w:tcW w:w="5740" w:type="dxa"/>
            <w:tcBorders>
              <w:top w:val="nil"/>
              <w:left w:val="nil"/>
              <w:bottom w:val="single" w:sz="4" w:space="0" w:color="auto"/>
              <w:right w:val="single" w:sz="4" w:space="0" w:color="auto"/>
            </w:tcBorders>
            <w:shd w:val="clear" w:color="auto" w:fill="auto"/>
            <w:vAlign w:val="center"/>
            <w:hideMark/>
          </w:tcPr>
          <w:p w14:paraId="4B6C2DA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development review; major policy review and revision; best practice examples on policy sent; IPE and amendment policy revision; SE policy revision; SWOT analysis; Adding an SRC; Public participation requirements</w:t>
            </w:r>
          </w:p>
        </w:tc>
        <w:tc>
          <w:tcPr>
            <w:tcW w:w="1420" w:type="dxa"/>
            <w:tcBorders>
              <w:top w:val="nil"/>
              <w:left w:val="nil"/>
              <w:bottom w:val="single" w:sz="4" w:space="0" w:color="auto"/>
              <w:right w:val="single" w:sz="4" w:space="0" w:color="auto"/>
            </w:tcBorders>
            <w:shd w:val="clear" w:color="auto" w:fill="auto"/>
            <w:vAlign w:val="center"/>
            <w:hideMark/>
          </w:tcPr>
          <w:p w14:paraId="101FD63B"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36</w:t>
            </w:r>
          </w:p>
        </w:tc>
      </w:tr>
      <w:tr w:rsidR="00C47F7F" w:rsidRPr="00C47F7F" w14:paraId="54833F31"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9229CD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South Carolina Blind</w:t>
            </w:r>
          </w:p>
        </w:tc>
        <w:tc>
          <w:tcPr>
            <w:tcW w:w="5740" w:type="dxa"/>
            <w:tcBorders>
              <w:top w:val="nil"/>
              <w:left w:val="nil"/>
              <w:bottom w:val="single" w:sz="4" w:space="0" w:color="auto"/>
              <w:right w:val="single" w:sz="4" w:space="0" w:color="auto"/>
            </w:tcBorders>
            <w:shd w:val="clear" w:color="auto" w:fill="auto"/>
            <w:vAlign w:val="center"/>
            <w:hideMark/>
          </w:tcPr>
          <w:p w14:paraId="3FE6CE7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development review</w:t>
            </w:r>
          </w:p>
        </w:tc>
        <w:tc>
          <w:tcPr>
            <w:tcW w:w="1420" w:type="dxa"/>
            <w:tcBorders>
              <w:top w:val="nil"/>
              <w:left w:val="nil"/>
              <w:bottom w:val="single" w:sz="4" w:space="0" w:color="auto"/>
              <w:right w:val="single" w:sz="4" w:space="0" w:color="auto"/>
            </w:tcBorders>
            <w:shd w:val="clear" w:color="auto" w:fill="auto"/>
            <w:vAlign w:val="center"/>
            <w:hideMark/>
          </w:tcPr>
          <w:p w14:paraId="148BDBFD"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3</w:t>
            </w:r>
          </w:p>
        </w:tc>
      </w:tr>
      <w:tr w:rsidR="00C47F7F" w:rsidRPr="00C47F7F" w14:paraId="6BDA8A23" w14:textId="77777777" w:rsidTr="00C47F7F">
        <w:trPr>
          <w:trHeight w:val="124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A1C232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South Dakota General</w:t>
            </w:r>
          </w:p>
        </w:tc>
        <w:tc>
          <w:tcPr>
            <w:tcW w:w="5740" w:type="dxa"/>
            <w:tcBorders>
              <w:top w:val="nil"/>
              <w:left w:val="nil"/>
              <w:bottom w:val="single" w:sz="4" w:space="0" w:color="auto"/>
              <w:right w:val="single" w:sz="4" w:space="0" w:color="auto"/>
            </w:tcBorders>
            <w:shd w:val="clear" w:color="auto" w:fill="auto"/>
            <w:vAlign w:val="center"/>
            <w:hideMark/>
          </w:tcPr>
          <w:p w14:paraId="347E502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TA on core program and shared results of MSG/Credentials and </w:t>
            </w:r>
            <w:proofErr w:type="gramStart"/>
            <w:r w:rsidRPr="00C47F7F">
              <w:rPr>
                <w:rFonts w:eastAsia="Times New Roman"/>
                <w:color w:val="000000"/>
              </w:rPr>
              <w:t>if and when</w:t>
            </w:r>
            <w:proofErr w:type="gramEnd"/>
            <w:r w:rsidRPr="00C47F7F">
              <w:rPr>
                <w:rFonts w:eastAsia="Times New Roman"/>
                <w:color w:val="000000"/>
              </w:rPr>
              <w:t xml:space="preserve"> they can be documented by multiple programs; Establishment projects</w:t>
            </w:r>
          </w:p>
        </w:tc>
        <w:tc>
          <w:tcPr>
            <w:tcW w:w="1420" w:type="dxa"/>
            <w:tcBorders>
              <w:top w:val="nil"/>
              <w:left w:val="nil"/>
              <w:bottom w:val="single" w:sz="4" w:space="0" w:color="auto"/>
              <w:right w:val="single" w:sz="4" w:space="0" w:color="auto"/>
            </w:tcBorders>
            <w:shd w:val="clear" w:color="auto" w:fill="auto"/>
            <w:vAlign w:val="center"/>
            <w:hideMark/>
          </w:tcPr>
          <w:p w14:paraId="6CD6146D"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055C903E"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9F25A53"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Texas Combined </w:t>
            </w:r>
          </w:p>
        </w:tc>
        <w:tc>
          <w:tcPr>
            <w:tcW w:w="5740" w:type="dxa"/>
            <w:tcBorders>
              <w:top w:val="nil"/>
              <w:left w:val="nil"/>
              <w:bottom w:val="single" w:sz="4" w:space="0" w:color="auto"/>
              <w:right w:val="single" w:sz="4" w:space="0" w:color="auto"/>
            </w:tcBorders>
            <w:shd w:val="clear" w:color="auto" w:fill="auto"/>
            <w:vAlign w:val="center"/>
            <w:hideMark/>
          </w:tcPr>
          <w:p w14:paraId="217FF480"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Policy review</w:t>
            </w:r>
          </w:p>
        </w:tc>
        <w:tc>
          <w:tcPr>
            <w:tcW w:w="1420" w:type="dxa"/>
            <w:tcBorders>
              <w:top w:val="nil"/>
              <w:left w:val="nil"/>
              <w:bottom w:val="single" w:sz="4" w:space="0" w:color="auto"/>
              <w:right w:val="single" w:sz="4" w:space="0" w:color="auto"/>
            </w:tcBorders>
            <w:shd w:val="clear" w:color="auto" w:fill="auto"/>
            <w:vAlign w:val="center"/>
            <w:hideMark/>
          </w:tcPr>
          <w:p w14:paraId="44D39DE1"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2CEBF49B"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B16434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Utah</w:t>
            </w:r>
          </w:p>
        </w:tc>
        <w:tc>
          <w:tcPr>
            <w:tcW w:w="5740" w:type="dxa"/>
            <w:tcBorders>
              <w:top w:val="nil"/>
              <w:left w:val="nil"/>
              <w:bottom w:val="single" w:sz="4" w:space="0" w:color="auto"/>
              <w:right w:val="single" w:sz="4" w:space="0" w:color="auto"/>
            </w:tcBorders>
            <w:shd w:val="clear" w:color="auto" w:fill="auto"/>
            <w:vAlign w:val="center"/>
            <w:hideMark/>
          </w:tcPr>
          <w:p w14:paraId="30201A2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TA re: case management system, processes, performance indicators related to Credential Attainment.</w:t>
            </w:r>
          </w:p>
        </w:tc>
        <w:tc>
          <w:tcPr>
            <w:tcW w:w="1420" w:type="dxa"/>
            <w:tcBorders>
              <w:top w:val="nil"/>
              <w:left w:val="nil"/>
              <w:bottom w:val="single" w:sz="4" w:space="0" w:color="auto"/>
              <w:right w:val="single" w:sz="4" w:space="0" w:color="auto"/>
            </w:tcBorders>
            <w:shd w:val="clear" w:color="auto" w:fill="auto"/>
            <w:vAlign w:val="center"/>
            <w:hideMark/>
          </w:tcPr>
          <w:p w14:paraId="5A98A482"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7717DB45"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313AEEE"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Vermont General</w:t>
            </w:r>
          </w:p>
        </w:tc>
        <w:tc>
          <w:tcPr>
            <w:tcW w:w="5740" w:type="dxa"/>
            <w:tcBorders>
              <w:top w:val="nil"/>
              <w:left w:val="nil"/>
              <w:bottom w:val="single" w:sz="4" w:space="0" w:color="auto"/>
              <w:right w:val="single" w:sz="4" w:space="0" w:color="auto"/>
            </w:tcBorders>
            <w:shd w:val="clear" w:color="auto" w:fill="auto"/>
            <w:vAlign w:val="center"/>
            <w:hideMark/>
          </w:tcPr>
          <w:p w14:paraId="552ACB62"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Data dashboard review and QM practices;</w:t>
            </w:r>
          </w:p>
        </w:tc>
        <w:tc>
          <w:tcPr>
            <w:tcW w:w="1420" w:type="dxa"/>
            <w:tcBorders>
              <w:top w:val="nil"/>
              <w:left w:val="nil"/>
              <w:bottom w:val="single" w:sz="4" w:space="0" w:color="auto"/>
              <w:right w:val="single" w:sz="4" w:space="0" w:color="auto"/>
            </w:tcBorders>
            <w:shd w:val="clear" w:color="auto" w:fill="auto"/>
            <w:vAlign w:val="center"/>
            <w:hideMark/>
          </w:tcPr>
          <w:p w14:paraId="65C9503B"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2F8699C8"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943DF39"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Virgin Islands Combined </w:t>
            </w:r>
          </w:p>
        </w:tc>
        <w:tc>
          <w:tcPr>
            <w:tcW w:w="5740" w:type="dxa"/>
            <w:tcBorders>
              <w:top w:val="nil"/>
              <w:left w:val="nil"/>
              <w:bottom w:val="single" w:sz="4" w:space="0" w:color="auto"/>
              <w:right w:val="single" w:sz="4" w:space="0" w:color="auto"/>
            </w:tcBorders>
            <w:shd w:val="clear" w:color="auto" w:fill="auto"/>
            <w:vAlign w:val="center"/>
            <w:hideMark/>
          </w:tcPr>
          <w:p w14:paraId="6BD782F8"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Information and referral on available TA; Monitoring results review;</w:t>
            </w:r>
          </w:p>
        </w:tc>
        <w:tc>
          <w:tcPr>
            <w:tcW w:w="1420" w:type="dxa"/>
            <w:tcBorders>
              <w:top w:val="nil"/>
              <w:left w:val="nil"/>
              <w:bottom w:val="single" w:sz="4" w:space="0" w:color="auto"/>
              <w:right w:val="single" w:sz="4" w:space="0" w:color="auto"/>
            </w:tcBorders>
            <w:shd w:val="clear" w:color="auto" w:fill="auto"/>
            <w:vAlign w:val="center"/>
            <w:hideMark/>
          </w:tcPr>
          <w:p w14:paraId="45C84833"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0B649D74"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9C64B8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Virginia Blind</w:t>
            </w:r>
          </w:p>
        </w:tc>
        <w:tc>
          <w:tcPr>
            <w:tcW w:w="5740" w:type="dxa"/>
            <w:tcBorders>
              <w:top w:val="nil"/>
              <w:left w:val="nil"/>
              <w:bottom w:val="single" w:sz="4" w:space="0" w:color="auto"/>
              <w:right w:val="single" w:sz="4" w:space="0" w:color="auto"/>
            </w:tcBorders>
            <w:shd w:val="clear" w:color="auto" w:fill="auto"/>
            <w:vAlign w:val="center"/>
            <w:hideMark/>
          </w:tcPr>
          <w:p w14:paraId="274D150D"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SARA</w:t>
            </w:r>
          </w:p>
        </w:tc>
        <w:tc>
          <w:tcPr>
            <w:tcW w:w="1420" w:type="dxa"/>
            <w:tcBorders>
              <w:top w:val="nil"/>
              <w:left w:val="nil"/>
              <w:bottom w:val="single" w:sz="4" w:space="0" w:color="auto"/>
              <w:right w:val="single" w:sz="4" w:space="0" w:color="auto"/>
            </w:tcBorders>
            <w:shd w:val="clear" w:color="auto" w:fill="auto"/>
            <w:vAlign w:val="center"/>
            <w:hideMark/>
          </w:tcPr>
          <w:p w14:paraId="532D495F"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29CFE782"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DF919B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Virginia General</w:t>
            </w:r>
          </w:p>
        </w:tc>
        <w:tc>
          <w:tcPr>
            <w:tcW w:w="5740" w:type="dxa"/>
            <w:tcBorders>
              <w:top w:val="nil"/>
              <w:left w:val="nil"/>
              <w:bottom w:val="single" w:sz="4" w:space="0" w:color="auto"/>
              <w:right w:val="single" w:sz="4" w:space="0" w:color="auto"/>
            </w:tcBorders>
            <w:shd w:val="clear" w:color="auto" w:fill="auto"/>
            <w:vAlign w:val="bottom"/>
            <w:hideMark/>
          </w:tcPr>
          <w:p w14:paraId="485D8D7A"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MSG Documentation and what counts towards acceptable credentials;</w:t>
            </w:r>
          </w:p>
        </w:tc>
        <w:tc>
          <w:tcPr>
            <w:tcW w:w="1420" w:type="dxa"/>
            <w:tcBorders>
              <w:top w:val="nil"/>
              <w:left w:val="nil"/>
              <w:bottom w:val="single" w:sz="4" w:space="0" w:color="auto"/>
              <w:right w:val="single" w:sz="4" w:space="0" w:color="auto"/>
            </w:tcBorders>
            <w:shd w:val="clear" w:color="auto" w:fill="auto"/>
            <w:vAlign w:val="center"/>
            <w:hideMark/>
          </w:tcPr>
          <w:p w14:paraId="48095A09"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w:t>
            </w:r>
          </w:p>
        </w:tc>
      </w:tr>
      <w:tr w:rsidR="00C47F7F" w:rsidRPr="00C47F7F" w14:paraId="0DD78A5E" w14:textId="77777777" w:rsidTr="00C47F7F">
        <w:trPr>
          <w:trHeight w:val="62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7F130B5"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Washington Blind</w:t>
            </w:r>
          </w:p>
        </w:tc>
        <w:tc>
          <w:tcPr>
            <w:tcW w:w="5740" w:type="dxa"/>
            <w:tcBorders>
              <w:top w:val="nil"/>
              <w:left w:val="nil"/>
              <w:bottom w:val="single" w:sz="4" w:space="0" w:color="auto"/>
              <w:right w:val="single" w:sz="4" w:space="0" w:color="auto"/>
            </w:tcBorders>
            <w:shd w:val="clear" w:color="auto" w:fill="auto"/>
            <w:vAlign w:val="center"/>
            <w:hideMark/>
          </w:tcPr>
          <w:p w14:paraId="6AE6585B"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MSG documentation; CMS reporting and data capture; SOC code capture and reporting; MTAG</w:t>
            </w:r>
          </w:p>
        </w:tc>
        <w:tc>
          <w:tcPr>
            <w:tcW w:w="1420" w:type="dxa"/>
            <w:tcBorders>
              <w:top w:val="nil"/>
              <w:left w:val="nil"/>
              <w:bottom w:val="single" w:sz="4" w:space="0" w:color="auto"/>
              <w:right w:val="single" w:sz="4" w:space="0" w:color="auto"/>
            </w:tcBorders>
            <w:shd w:val="clear" w:color="auto" w:fill="auto"/>
            <w:vAlign w:val="center"/>
            <w:hideMark/>
          </w:tcPr>
          <w:p w14:paraId="21D89BA3"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5</w:t>
            </w:r>
          </w:p>
        </w:tc>
      </w:tr>
      <w:tr w:rsidR="00C47F7F" w:rsidRPr="00C47F7F" w14:paraId="39723491" w14:textId="77777777" w:rsidTr="00C47F7F">
        <w:trPr>
          <w:trHeight w:val="31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0E3FCE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lastRenderedPageBreak/>
              <w:t>Wisconsin Combined</w:t>
            </w:r>
          </w:p>
        </w:tc>
        <w:tc>
          <w:tcPr>
            <w:tcW w:w="5740" w:type="dxa"/>
            <w:tcBorders>
              <w:top w:val="nil"/>
              <w:left w:val="nil"/>
              <w:bottom w:val="single" w:sz="4" w:space="0" w:color="auto"/>
              <w:right w:val="single" w:sz="4" w:space="0" w:color="auto"/>
            </w:tcBorders>
            <w:shd w:val="clear" w:color="auto" w:fill="auto"/>
            <w:vAlign w:val="center"/>
            <w:hideMark/>
          </w:tcPr>
          <w:p w14:paraId="656B2CEC"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Eligibility determination and IPE development policy</w:t>
            </w:r>
          </w:p>
        </w:tc>
        <w:tc>
          <w:tcPr>
            <w:tcW w:w="1420" w:type="dxa"/>
            <w:tcBorders>
              <w:top w:val="nil"/>
              <w:left w:val="nil"/>
              <w:bottom w:val="single" w:sz="4" w:space="0" w:color="auto"/>
              <w:right w:val="single" w:sz="4" w:space="0" w:color="auto"/>
            </w:tcBorders>
            <w:shd w:val="clear" w:color="auto" w:fill="auto"/>
            <w:vAlign w:val="center"/>
            <w:hideMark/>
          </w:tcPr>
          <w:p w14:paraId="5BA73A3E"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4</w:t>
            </w:r>
          </w:p>
        </w:tc>
      </w:tr>
      <w:tr w:rsidR="00C47F7F" w:rsidRPr="00C47F7F" w14:paraId="0D80CAA4" w14:textId="77777777" w:rsidTr="00C47F7F">
        <w:trPr>
          <w:trHeight w:val="155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D57628F"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Wyoming Combined</w:t>
            </w:r>
          </w:p>
        </w:tc>
        <w:tc>
          <w:tcPr>
            <w:tcW w:w="5740" w:type="dxa"/>
            <w:tcBorders>
              <w:top w:val="nil"/>
              <w:left w:val="nil"/>
              <w:bottom w:val="single" w:sz="4" w:space="0" w:color="auto"/>
              <w:right w:val="single" w:sz="4" w:space="0" w:color="auto"/>
            </w:tcBorders>
            <w:shd w:val="clear" w:color="auto" w:fill="auto"/>
            <w:vAlign w:val="center"/>
            <w:hideMark/>
          </w:tcPr>
          <w:p w14:paraId="4C6CF784" w14:textId="77777777" w:rsidR="00C47F7F" w:rsidRPr="00C47F7F" w:rsidRDefault="00C47F7F" w:rsidP="00C47F7F">
            <w:pPr>
              <w:spacing w:after="0" w:line="240" w:lineRule="auto"/>
              <w:rPr>
                <w:rFonts w:eastAsia="Times New Roman"/>
                <w:color w:val="000000"/>
              </w:rPr>
            </w:pPr>
            <w:r w:rsidRPr="00C47F7F">
              <w:rPr>
                <w:rFonts w:eastAsia="Times New Roman"/>
                <w:color w:val="000000"/>
              </w:rPr>
              <w:t xml:space="preserve">Fiscal TA and DSA/DSU challenges on fiscal administration of the VR program; contracts and personnel; reallotment and liquidation; Match and carryover; prior approval; low vision and blind consumers; </w:t>
            </w:r>
          </w:p>
        </w:tc>
        <w:tc>
          <w:tcPr>
            <w:tcW w:w="1420" w:type="dxa"/>
            <w:tcBorders>
              <w:top w:val="nil"/>
              <w:left w:val="nil"/>
              <w:bottom w:val="single" w:sz="4" w:space="0" w:color="auto"/>
              <w:right w:val="single" w:sz="4" w:space="0" w:color="auto"/>
            </w:tcBorders>
            <w:shd w:val="clear" w:color="auto" w:fill="auto"/>
            <w:vAlign w:val="center"/>
            <w:hideMark/>
          </w:tcPr>
          <w:p w14:paraId="0B606EA1" w14:textId="77777777" w:rsidR="00C47F7F" w:rsidRPr="00C47F7F" w:rsidRDefault="00C47F7F" w:rsidP="00C47F7F">
            <w:pPr>
              <w:spacing w:after="0" w:line="240" w:lineRule="auto"/>
              <w:jc w:val="right"/>
              <w:rPr>
                <w:rFonts w:eastAsia="Times New Roman"/>
                <w:color w:val="000000"/>
              </w:rPr>
            </w:pPr>
            <w:r w:rsidRPr="00C47F7F">
              <w:rPr>
                <w:rFonts w:eastAsia="Times New Roman"/>
                <w:color w:val="000000"/>
              </w:rPr>
              <w:t>18</w:t>
            </w:r>
          </w:p>
        </w:tc>
      </w:tr>
      <w:tr w:rsidR="00C47F7F" w:rsidRPr="00C47F7F" w14:paraId="5FBDF73F" w14:textId="77777777" w:rsidTr="00C47F7F">
        <w:trPr>
          <w:trHeight w:val="730"/>
        </w:trPr>
        <w:tc>
          <w:tcPr>
            <w:tcW w:w="8020"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20EAB93E" w14:textId="77777777" w:rsidR="00C47F7F" w:rsidRPr="00C47F7F" w:rsidRDefault="00C47F7F" w:rsidP="00C47F7F">
            <w:pPr>
              <w:spacing w:after="0" w:line="240" w:lineRule="auto"/>
              <w:jc w:val="center"/>
              <w:rPr>
                <w:rFonts w:eastAsia="Times New Roman"/>
                <w:b/>
                <w:bCs/>
                <w:color w:val="000000"/>
              </w:rPr>
            </w:pPr>
            <w:r w:rsidRPr="00C47F7F">
              <w:rPr>
                <w:rFonts w:eastAsia="Times New Roman"/>
                <w:b/>
                <w:bCs/>
                <w:color w:val="000000"/>
              </w:rPr>
              <w:t xml:space="preserve">Totals = 54 agencies (including multiple listings); </w:t>
            </w:r>
            <w:r w:rsidRPr="00C47F7F">
              <w:rPr>
                <w:rFonts w:eastAsia="Times New Roman"/>
                <w:b/>
                <w:bCs/>
                <w:color w:val="000000"/>
              </w:rPr>
              <w:br/>
              <w:t>123 targeted TA events (separated by semi-colon in list above)</w:t>
            </w:r>
          </w:p>
        </w:tc>
        <w:tc>
          <w:tcPr>
            <w:tcW w:w="1420" w:type="dxa"/>
            <w:tcBorders>
              <w:top w:val="nil"/>
              <w:left w:val="nil"/>
              <w:bottom w:val="single" w:sz="4" w:space="0" w:color="auto"/>
              <w:right w:val="single" w:sz="4" w:space="0" w:color="auto"/>
            </w:tcBorders>
            <w:shd w:val="clear" w:color="000000" w:fill="FCE4D6"/>
            <w:vAlign w:val="center"/>
            <w:hideMark/>
          </w:tcPr>
          <w:p w14:paraId="67D133D2" w14:textId="77777777" w:rsidR="00C47F7F" w:rsidRPr="00C47F7F" w:rsidRDefault="00C47F7F" w:rsidP="00C47F7F">
            <w:pPr>
              <w:spacing w:after="0" w:line="240" w:lineRule="auto"/>
              <w:jc w:val="center"/>
              <w:rPr>
                <w:rFonts w:eastAsia="Times New Roman"/>
                <w:b/>
                <w:bCs/>
                <w:color w:val="000000"/>
              </w:rPr>
            </w:pPr>
            <w:r w:rsidRPr="00C47F7F">
              <w:rPr>
                <w:rFonts w:eastAsia="Times New Roman"/>
                <w:b/>
                <w:bCs/>
                <w:color w:val="000000"/>
              </w:rPr>
              <w:t>928</w:t>
            </w:r>
          </w:p>
        </w:tc>
      </w:tr>
    </w:tbl>
    <w:p w14:paraId="7484859E" w14:textId="1BE9844A" w:rsidR="003955F7" w:rsidRDefault="002C2CD0" w:rsidP="006039A1">
      <w:pPr>
        <w:pStyle w:val="Style1"/>
        <w:rPr>
          <w:b/>
          <w:sz w:val="28"/>
        </w:rPr>
      </w:pPr>
      <w:r>
        <w:t xml:space="preserve">A total of </w:t>
      </w:r>
      <w:r w:rsidR="00C47F7F">
        <w:t>54</w:t>
      </w:r>
      <w:r w:rsidR="003734A3">
        <w:t xml:space="preserve"> </w:t>
      </w:r>
      <w:r>
        <w:t xml:space="preserve">SVRAs requested some form of targeted TA during the </w:t>
      </w:r>
      <w:r w:rsidR="00C47F7F">
        <w:t>fourth</w:t>
      </w:r>
      <w:r>
        <w:t xml:space="preserve"> quarter.  </w:t>
      </w:r>
      <w:r w:rsidR="003734A3">
        <w:t xml:space="preserve">This represents an increase of </w:t>
      </w:r>
      <w:r w:rsidR="00C47F7F">
        <w:t xml:space="preserve">three </w:t>
      </w:r>
      <w:r w:rsidR="003734A3">
        <w:t xml:space="preserve">SVRAs from the </w:t>
      </w:r>
      <w:r w:rsidR="00C47F7F">
        <w:t>third</w:t>
      </w:r>
      <w:r w:rsidR="003734A3">
        <w:t xml:space="preserve"> quarter. </w:t>
      </w:r>
      <w:r>
        <w:t xml:space="preserve">There were </w:t>
      </w:r>
      <w:r w:rsidR="00C47F7F">
        <w:t>928</w:t>
      </w:r>
      <w:r>
        <w:t xml:space="preserve"> staff that received the TA directly</w:t>
      </w:r>
      <w:r w:rsidR="00C47F7F">
        <w:t xml:space="preserve"> through 123 events.  The total number receiving TA dropped by 650 from the previous quarter, but that is due to the 900 people that attended the Florida training in the third quarter. Without that training in the third quarter, there would have been an increase of 250 individuals receiving TA in the fourth quarter. </w:t>
      </w:r>
    </w:p>
    <w:p w14:paraId="3787B400" w14:textId="1B750D1B" w:rsidR="00277D70" w:rsidRDefault="00277D70" w:rsidP="00277D70">
      <w:pPr>
        <w:pStyle w:val="Heading2"/>
      </w:pPr>
      <w:bookmarkStart w:id="10" w:name="_Toc92084372"/>
      <w:r>
        <w:t>Targeted TA of Note:</w:t>
      </w:r>
      <w:bookmarkEnd w:id="10"/>
    </w:p>
    <w:p w14:paraId="2777AAF3" w14:textId="77777777" w:rsidR="00232ADA" w:rsidRDefault="00232ADA" w:rsidP="00232ADA">
      <w:r>
        <w:t>The targeted TA provided in the fourth quarter followed what is turning into a common pattern. We provide targeted TA in one or more areas for the SVRA, then they request a SWOT and develop an intensive TA agreement. As indicated earlier, we completed SWOT analyses for Florida General, South Carolina General, Washington Blind and Maryland Combined during the fourth quarter.  These will all be turning into ITAAs in Year 2. In addition, Hawaii and Nevada are on the cusp, along with Arkansas Blind.</w:t>
      </w:r>
    </w:p>
    <w:p w14:paraId="1BD5FA2C" w14:textId="77777777" w:rsidR="000142D8" w:rsidRDefault="000142D8" w:rsidP="000142D8">
      <w:pPr>
        <w:pStyle w:val="Heading2"/>
      </w:pPr>
      <w:bookmarkStart w:id="11" w:name="_Toc92084373"/>
      <w:r>
        <w:t>Communities of Practice:</w:t>
      </w:r>
      <w:bookmarkEnd w:id="11"/>
    </w:p>
    <w:p w14:paraId="755EC2EB" w14:textId="77777777" w:rsidR="007A0BE8" w:rsidRDefault="00360A17" w:rsidP="007A0BE8">
      <w:pPr>
        <w:spacing w:before="240"/>
      </w:pPr>
      <w:r>
        <w:t xml:space="preserve">There are three active communities of practice currently. These include the monitoring CoP, customized employment and supported employment systems CoPs. The monitoring CoP is meeting bimonthly and has proven to be an important avenue for SVRAs to share information about preparing for, going through, or responding to their monitoring. </w:t>
      </w:r>
    </w:p>
    <w:p w14:paraId="4F68A463" w14:textId="77777777" w:rsidR="007A0BE8" w:rsidRPr="00477F11" w:rsidRDefault="007A0BE8" w:rsidP="007A0BE8">
      <w:r w:rsidRPr="00477F11">
        <w:t xml:space="preserve">The goal of the monthly CE CoP is to facilitate the exchange of information between state agencies that supports the improvement of Customized Employment (CE) delivery, </w:t>
      </w:r>
      <w:proofErr w:type="gramStart"/>
      <w:r w:rsidRPr="00477F11">
        <w:t>sustainability</w:t>
      </w:r>
      <w:proofErr w:type="gramEnd"/>
      <w:r w:rsidRPr="00477F11">
        <w:t xml:space="preserve"> and program evaluation. This CoP offers state agencies the opportunity to share information, progress, </w:t>
      </w:r>
      <w:proofErr w:type="gramStart"/>
      <w:r w:rsidRPr="00477F11">
        <w:t>challenges</w:t>
      </w:r>
      <w:proofErr w:type="gramEnd"/>
      <w:r w:rsidRPr="00477F11">
        <w:t xml:space="preserve"> and questions with other agencies who are implementing CE in their state.</w:t>
      </w:r>
    </w:p>
    <w:p w14:paraId="7C773CE8" w14:textId="77777777" w:rsidR="007A0BE8" w:rsidRPr="00477F11" w:rsidRDefault="007A0BE8" w:rsidP="007A0BE8">
      <w:r w:rsidRPr="00477F11">
        <w:t xml:space="preserve">The CE CoP is lead jointly by VRTAC-QM and Cornell University.  VRTAC-QE &amp; NTACT participate on a regular basis to provide TA support. Due to the transition from WINTAC to VRTAC-QM grants, there was a meeting break from Jan-March. </w:t>
      </w:r>
    </w:p>
    <w:p w14:paraId="05689369" w14:textId="77777777" w:rsidR="007A0BE8" w:rsidRPr="00477F11" w:rsidRDefault="007A0BE8" w:rsidP="007A0BE8">
      <w:pPr>
        <w:rPr>
          <w:b/>
          <w:bCs/>
        </w:rPr>
      </w:pPr>
      <w:r w:rsidRPr="00477F11">
        <w:rPr>
          <w:b/>
          <w:bCs/>
        </w:rPr>
        <w:t>MEETING SUMMARY:</w:t>
      </w:r>
    </w:p>
    <w:p w14:paraId="17EBD1D4" w14:textId="77777777" w:rsidR="007A0BE8" w:rsidRPr="00477F11" w:rsidRDefault="007A0BE8" w:rsidP="007A0BE8">
      <w:r w:rsidRPr="00477F11">
        <w:t xml:space="preserve">The CE CoP met a total of </w:t>
      </w:r>
      <w:r>
        <w:t>eight</w:t>
      </w:r>
      <w:r w:rsidRPr="00477F11">
        <w:t xml:space="preserve"> times during this performance year.  In 2020, those meetings were held on October 28, November 18, and December 16.  During 2021, meetings were held on April 28, May 26, June 30, July 28, and September 29.   </w:t>
      </w:r>
    </w:p>
    <w:p w14:paraId="4CDD6BB6" w14:textId="5E88B547" w:rsidR="007A0BE8" w:rsidRPr="00477F11" w:rsidRDefault="007A0BE8" w:rsidP="007A0BE8">
      <w:r w:rsidRPr="00477F11">
        <w:lastRenderedPageBreak/>
        <w:t>The following State VR agencies participated:  Arizona C., California G., Colorado C., Florida G., Idaho G., Louisiana C., Michigan G. &amp; B., Min</w:t>
      </w:r>
      <w:r w:rsidR="00067F6C">
        <w:t>n</w:t>
      </w:r>
      <w:r w:rsidRPr="00477F11">
        <w:t>esota G. &amp; B., Missouri G., Montana C., Nevada C., New Jers</w:t>
      </w:r>
      <w:r w:rsidR="00067F6C">
        <w:t>e</w:t>
      </w:r>
      <w:r w:rsidRPr="00477F11">
        <w:t xml:space="preserve">y G., South Dakota G., Texas C., Utah C., and Virginia G. for a total of 16 VR agencies and 45 VR staff. </w:t>
      </w:r>
    </w:p>
    <w:p w14:paraId="6579F9B6" w14:textId="77777777" w:rsidR="007A0BE8" w:rsidRPr="00477F11" w:rsidRDefault="007A0BE8" w:rsidP="007A0BE8">
      <w:r w:rsidRPr="00477F11">
        <w:t>A summary of agenda items that were covered for the prior year were:</w:t>
      </w:r>
    </w:p>
    <w:p w14:paraId="136D97BB" w14:textId="77777777" w:rsidR="007A0BE8" w:rsidRPr="00477F11" w:rsidRDefault="007A0BE8" w:rsidP="007A0BE8">
      <w:pPr>
        <w:pStyle w:val="ListParagraph"/>
        <w:numPr>
          <w:ilvl w:val="0"/>
          <w:numId w:val="30"/>
        </w:numPr>
        <w:spacing w:after="0"/>
      </w:pPr>
      <w:r w:rsidRPr="00477F11">
        <w:t>Updates from VRTAC-QM, VRTAC QE and NTACT regarding CE support available</w:t>
      </w:r>
    </w:p>
    <w:p w14:paraId="6E62A7E3" w14:textId="77777777" w:rsidR="007A0BE8" w:rsidRPr="00477F11" w:rsidRDefault="007A0BE8" w:rsidP="007A0BE8">
      <w:pPr>
        <w:pStyle w:val="ListParagraph"/>
        <w:numPr>
          <w:ilvl w:val="0"/>
          <w:numId w:val="30"/>
        </w:numPr>
        <w:spacing w:after="0"/>
      </w:pPr>
      <w:r w:rsidRPr="00477F11">
        <w:t>Sharing methods of developing and implementing sustainable CE training</w:t>
      </w:r>
    </w:p>
    <w:p w14:paraId="59CFB031" w14:textId="77777777" w:rsidR="007A0BE8" w:rsidRPr="00477F11" w:rsidRDefault="007A0BE8" w:rsidP="007A0BE8">
      <w:pPr>
        <w:pStyle w:val="ListParagraph"/>
        <w:numPr>
          <w:ilvl w:val="0"/>
          <w:numId w:val="30"/>
        </w:numPr>
        <w:spacing w:after="0"/>
      </w:pPr>
      <w:r w:rsidRPr="00477F11">
        <w:t>Strategies to support CE Program Evaluation</w:t>
      </w:r>
    </w:p>
    <w:p w14:paraId="0FA7240A" w14:textId="77777777" w:rsidR="007A0BE8" w:rsidRPr="00477F11" w:rsidRDefault="007A0BE8" w:rsidP="007A0BE8">
      <w:pPr>
        <w:pStyle w:val="ListParagraph"/>
        <w:numPr>
          <w:ilvl w:val="0"/>
          <w:numId w:val="30"/>
        </w:numPr>
        <w:spacing w:after="0"/>
      </w:pPr>
      <w:r w:rsidRPr="00477F11">
        <w:t>CE resources states are developing to support CE such as CO’s CE Handbook</w:t>
      </w:r>
    </w:p>
    <w:p w14:paraId="1A1E5E1D" w14:textId="77777777" w:rsidR="007A0BE8" w:rsidRPr="00477F11" w:rsidRDefault="007A0BE8" w:rsidP="007A0BE8">
      <w:pPr>
        <w:pStyle w:val="ListParagraph"/>
        <w:numPr>
          <w:ilvl w:val="0"/>
          <w:numId w:val="30"/>
        </w:numPr>
        <w:spacing w:after="0"/>
      </w:pPr>
      <w:r w:rsidRPr="00477F11">
        <w:t>Developing and implementing long-term internal &amp; virtual CE training capacity</w:t>
      </w:r>
    </w:p>
    <w:p w14:paraId="1A0D4725" w14:textId="77777777" w:rsidR="007A0BE8" w:rsidRPr="00477F11" w:rsidRDefault="007A0BE8" w:rsidP="007A0BE8">
      <w:pPr>
        <w:pStyle w:val="ListParagraph"/>
        <w:numPr>
          <w:ilvl w:val="0"/>
          <w:numId w:val="30"/>
        </w:numPr>
        <w:spacing w:after="0"/>
      </w:pPr>
      <w:r w:rsidRPr="00477F11">
        <w:t>Partnering with DD/Medicaid to co-enroll and cover CE cost</w:t>
      </w:r>
    </w:p>
    <w:p w14:paraId="0A6F0A4C" w14:textId="77777777" w:rsidR="007A0BE8" w:rsidRPr="00477F11" w:rsidRDefault="007A0BE8" w:rsidP="007A0BE8">
      <w:pPr>
        <w:pStyle w:val="ListParagraph"/>
        <w:numPr>
          <w:ilvl w:val="0"/>
          <w:numId w:val="30"/>
        </w:numPr>
        <w:spacing w:after="0"/>
      </w:pPr>
      <w:r w:rsidRPr="00477F11">
        <w:t>Presenting CE TA support by VRTAC-QE</w:t>
      </w:r>
    </w:p>
    <w:p w14:paraId="60EAAD65" w14:textId="77777777" w:rsidR="007A0BE8" w:rsidRPr="00477F11" w:rsidRDefault="007A0BE8" w:rsidP="007A0BE8">
      <w:pPr>
        <w:pStyle w:val="ListParagraph"/>
        <w:numPr>
          <w:ilvl w:val="0"/>
          <w:numId w:val="30"/>
        </w:numPr>
        <w:spacing w:after="0"/>
      </w:pPr>
      <w:r w:rsidRPr="00477F11">
        <w:t xml:space="preserve">Sharing CE policy language from other agencies such as from CO, </w:t>
      </w:r>
      <w:proofErr w:type="gramStart"/>
      <w:r w:rsidRPr="00477F11">
        <w:t>KY</w:t>
      </w:r>
      <w:proofErr w:type="gramEnd"/>
      <w:r w:rsidRPr="00477F11">
        <w:t xml:space="preserve"> and UT</w:t>
      </w:r>
    </w:p>
    <w:p w14:paraId="260AE6D7" w14:textId="77777777" w:rsidR="007A0BE8" w:rsidRPr="00477F11" w:rsidRDefault="007A0BE8" w:rsidP="007A0BE8">
      <w:pPr>
        <w:pStyle w:val="ListParagraph"/>
        <w:numPr>
          <w:ilvl w:val="0"/>
          <w:numId w:val="30"/>
        </w:numPr>
        <w:spacing w:after="0"/>
      </w:pPr>
      <w:r w:rsidRPr="00477F11">
        <w:t>Utilization of Integrated Resource Teams as part of CE</w:t>
      </w:r>
    </w:p>
    <w:p w14:paraId="0B469635" w14:textId="77777777" w:rsidR="007A0BE8" w:rsidRPr="00477F11" w:rsidRDefault="007A0BE8" w:rsidP="007A0BE8">
      <w:pPr>
        <w:pStyle w:val="ListParagraph"/>
        <w:numPr>
          <w:ilvl w:val="0"/>
          <w:numId w:val="30"/>
        </w:numPr>
        <w:spacing w:after="0"/>
      </w:pPr>
      <w:r w:rsidRPr="00477F11">
        <w:t xml:space="preserve">Provider/Staff </w:t>
      </w:r>
      <w:proofErr w:type="spellStart"/>
      <w:r w:rsidRPr="00477F11">
        <w:t>turn over</w:t>
      </w:r>
      <w:proofErr w:type="spellEnd"/>
      <w:r w:rsidRPr="00477F11">
        <w:t xml:space="preserve"> challenges and related strategies to mitigate</w:t>
      </w:r>
    </w:p>
    <w:p w14:paraId="6CC27FF4" w14:textId="0EC60C3C" w:rsidR="007A0BE8" w:rsidRDefault="007A0BE8" w:rsidP="00232ADA">
      <w:r w:rsidRPr="00A5752F">
        <w:t>VRTAC-QM collaborated with George Washington University’s Center for Innovative Training</w:t>
      </w:r>
      <w:r>
        <w:t xml:space="preserve"> in VR</w:t>
      </w:r>
      <w:r w:rsidRPr="00A5752F">
        <w:t xml:space="preserve"> (</w:t>
      </w:r>
      <w:r>
        <w:t>CIT-VR</w:t>
      </w:r>
      <w:r w:rsidRPr="00A5752F">
        <w:t xml:space="preserve">) to help support the continuation of SE CoP meetings initially started under WINTAC in July 2017.  </w:t>
      </w:r>
      <w:r>
        <w:t>CIT-VR</w:t>
      </w:r>
      <w:r w:rsidRPr="00A5752F">
        <w:t xml:space="preserve"> is the lead agency in setting up, facilitating and record keeping for these meetings while VRTAC-QM supports these calls especially in the system’s </w:t>
      </w:r>
      <w:r>
        <w:t>related</w:t>
      </w:r>
      <w:r w:rsidRPr="00A5752F">
        <w:t xml:space="preserve"> work.  In addition, staff from the VRTAC-QE and subject matter experts from Cornell University participate </w:t>
      </w:r>
      <w:r>
        <w:t xml:space="preserve">and provide TA </w:t>
      </w:r>
      <w:r w:rsidRPr="00A5752F">
        <w:t xml:space="preserve">regularly in these calls.  </w:t>
      </w:r>
      <w:r>
        <w:t xml:space="preserve">Under this new structure, the </w:t>
      </w:r>
      <w:r w:rsidRPr="00A5752F">
        <w:t xml:space="preserve">first meeting </w:t>
      </w:r>
      <w:r>
        <w:t xml:space="preserve">was held </w:t>
      </w:r>
      <w:r w:rsidRPr="00A5752F">
        <w:t>on 3/19/21</w:t>
      </w:r>
      <w:r>
        <w:t xml:space="preserve"> and then, subsequently, on </w:t>
      </w:r>
      <w:r w:rsidRPr="00A5752F">
        <w:t xml:space="preserve">5/19/21, 7/21/21 and 9/15/21.   </w:t>
      </w:r>
      <w:r>
        <w:t>These meeting will continue every other month on the third Wednesday of that month.</w:t>
      </w:r>
    </w:p>
    <w:p w14:paraId="7CB39438" w14:textId="77777777" w:rsidR="007A0BE8" w:rsidRPr="00A5752F" w:rsidRDefault="007A0BE8" w:rsidP="00232ADA">
      <w:r w:rsidRPr="00A5752F">
        <w:t>SE CoP membership currently consists of 48 members representing</w:t>
      </w:r>
      <w:bookmarkStart w:id="12" w:name="_Hlk84579813"/>
      <w:r w:rsidRPr="00A5752F">
        <w:t xml:space="preserve"> 23 SVRAs, as well as participation by CCER (UW), VRTAC-QE (UW-M), Yan Tang Institute (Cornell).  </w:t>
      </w:r>
      <w:r>
        <w:t>Currently, t</w:t>
      </w:r>
      <w:r w:rsidRPr="00A5752F">
        <w:t xml:space="preserve">he SVRA’s </w:t>
      </w:r>
      <w:r>
        <w:t xml:space="preserve">are:  </w:t>
      </w:r>
      <w:r w:rsidRPr="00A5752F">
        <w:t xml:space="preserve">Arizona C, Arkansas B, Colorado C, Delaware B, Connecticut G, Hawaii C, Idaho G, Florida G, Kentucky </w:t>
      </w:r>
      <w:r>
        <w:t>C</w:t>
      </w:r>
      <w:r w:rsidRPr="00A5752F">
        <w:t xml:space="preserve">, Louisiana C, Maryland C, Mississippi G, Minnesota </w:t>
      </w:r>
      <w:r>
        <w:t>G</w:t>
      </w:r>
      <w:r w:rsidRPr="00A5752F">
        <w:t xml:space="preserve">, Montana C, Nebraska G, New York G, New Jersey </w:t>
      </w:r>
      <w:r>
        <w:t>G</w:t>
      </w:r>
      <w:r w:rsidRPr="00A5752F">
        <w:t>, M</w:t>
      </w:r>
      <w:r>
        <w:t xml:space="preserve">issouri </w:t>
      </w:r>
      <w:proofErr w:type="gramStart"/>
      <w:r>
        <w:t xml:space="preserve">G </w:t>
      </w:r>
      <w:r w:rsidRPr="00A5752F">
        <w:t>,</w:t>
      </w:r>
      <w:proofErr w:type="gramEnd"/>
      <w:r w:rsidRPr="00A5752F">
        <w:t xml:space="preserve"> Oregon G, Pennsylvania</w:t>
      </w:r>
      <w:r>
        <w:t xml:space="preserve"> C</w:t>
      </w:r>
      <w:r w:rsidRPr="00A5752F">
        <w:t xml:space="preserve">, Utah C, Virginia G, Wisconsin C.  </w:t>
      </w:r>
      <w:bookmarkEnd w:id="12"/>
      <w:r w:rsidRPr="00A5752F">
        <w:t>In addition, the SE CoP includes an on-line</w:t>
      </w:r>
      <w:r>
        <w:t xml:space="preserve"> </w:t>
      </w:r>
      <w:r w:rsidRPr="00A5752F">
        <w:t xml:space="preserve">community with 24 members. </w:t>
      </w:r>
      <w:r>
        <w:t xml:space="preserve">The online community serves as a venue to share resources and to have discussion threads on </w:t>
      </w:r>
      <w:proofErr w:type="gramStart"/>
      <w:r>
        <w:t>particular topics</w:t>
      </w:r>
      <w:proofErr w:type="gramEnd"/>
      <w:r>
        <w:t xml:space="preserve">.  The community is only open to members of the SE </w:t>
      </w:r>
      <w:proofErr w:type="spellStart"/>
      <w:r>
        <w:t>CoP.</w:t>
      </w:r>
      <w:proofErr w:type="spellEnd"/>
    </w:p>
    <w:p w14:paraId="104A2DCB" w14:textId="77777777" w:rsidR="007A0BE8" w:rsidRPr="00A5752F" w:rsidRDefault="007A0BE8" w:rsidP="007A0BE8">
      <w:pPr>
        <w:rPr>
          <w:b/>
          <w:color w:val="000000" w:themeColor="text1"/>
        </w:rPr>
      </w:pPr>
      <w:r w:rsidRPr="00A5752F">
        <w:rPr>
          <w:b/>
          <w:color w:val="000000" w:themeColor="text1"/>
        </w:rPr>
        <w:t>SE CoP Goal:</w:t>
      </w:r>
    </w:p>
    <w:p w14:paraId="08CB8B8F" w14:textId="77777777" w:rsidR="007A0BE8" w:rsidRPr="00A5752F" w:rsidRDefault="007A0BE8" w:rsidP="007A0BE8">
      <w:pPr>
        <w:rPr>
          <w:rFonts w:eastAsia="Arial"/>
          <w:lang w:val="en"/>
        </w:rPr>
      </w:pPr>
      <w:r>
        <w:rPr>
          <w:rFonts w:eastAsia="Arial"/>
          <w:lang w:val="en"/>
        </w:rPr>
        <w:t>T</w:t>
      </w:r>
      <w:r w:rsidRPr="00A5752F">
        <w:rPr>
          <w:rFonts w:eastAsia="Arial"/>
          <w:lang w:val="en"/>
        </w:rPr>
        <w:t xml:space="preserve">he goal is to improve the delivery of SE services in their agencies </w:t>
      </w:r>
      <w:r>
        <w:rPr>
          <w:rFonts w:eastAsia="Arial"/>
          <w:lang w:val="en"/>
        </w:rPr>
        <w:t xml:space="preserve">resulting in better </w:t>
      </w:r>
      <w:r w:rsidRPr="00A5752F">
        <w:rPr>
          <w:rFonts w:eastAsia="Arial"/>
          <w:lang w:val="en"/>
        </w:rPr>
        <w:t>employment outcomes for those they serve.   Th</w:t>
      </w:r>
      <w:r>
        <w:rPr>
          <w:rFonts w:eastAsia="Arial"/>
          <w:lang w:val="en"/>
        </w:rPr>
        <w:t xml:space="preserve">e SE </w:t>
      </w:r>
      <w:r w:rsidRPr="00A5752F">
        <w:rPr>
          <w:rFonts w:eastAsia="Arial"/>
          <w:lang w:val="en"/>
        </w:rPr>
        <w:t>CoP community serves as a forum for an exchange of ideas</w:t>
      </w:r>
      <w:r>
        <w:rPr>
          <w:rFonts w:eastAsia="Arial"/>
          <w:lang w:val="en"/>
        </w:rPr>
        <w:t xml:space="preserve">, </w:t>
      </w:r>
      <w:proofErr w:type="gramStart"/>
      <w:r>
        <w:rPr>
          <w:rFonts w:eastAsia="Arial"/>
          <w:lang w:val="en"/>
        </w:rPr>
        <w:t>innovation</w:t>
      </w:r>
      <w:proofErr w:type="gramEnd"/>
      <w:r w:rsidRPr="00A5752F">
        <w:rPr>
          <w:rFonts w:eastAsia="Arial"/>
          <w:lang w:val="en"/>
        </w:rPr>
        <w:t xml:space="preserve"> and information to assist members identify challenges</w:t>
      </w:r>
      <w:r>
        <w:rPr>
          <w:rFonts w:eastAsia="Arial"/>
          <w:lang w:val="en"/>
        </w:rPr>
        <w:t xml:space="preserve"> and solutions</w:t>
      </w:r>
      <w:r w:rsidRPr="00A5752F">
        <w:rPr>
          <w:rFonts w:eastAsia="Arial"/>
          <w:lang w:val="en"/>
        </w:rPr>
        <w:t xml:space="preserve"> in delivering SE services for their consumers that are in alignment with the Rehabilitation Act of 1973 as amended by WIOA 2014, and related sub-regulatory guidance from RSA including </w:t>
      </w:r>
      <w:r>
        <w:rPr>
          <w:rFonts w:eastAsia="Arial"/>
          <w:lang w:val="en"/>
        </w:rPr>
        <w:t>addressing pre and post monitoring questions related to SE.</w:t>
      </w:r>
      <w:r w:rsidRPr="00A5752F">
        <w:rPr>
          <w:color w:val="000000" w:themeColor="text1"/>
        </w:rPr>
        <w:t xml:space="preserve">  </w:t>
      </w:r>
    </w:p>
    <w:p w14:paraId="03B59304" w14:textId="77777777" w:rsidR="007A0BE8" w:rsidRPr="002C2300" w:rsidRDefault="007A0BE8" w:rsidP="007A0BE8">
      <w:pPr>
        <w:rPr>
          <w:b/>
          <w:color w:val="000000" w:themeColor="text1"/>
        </w:rPr>
      </w:pPr>
      <w:r w:rsidRPr="002C2300">
        <w:rPr>
          <w:b/>
          <w:color w:val="000000" w:themeColor="text1"/>
        </w:rPr>
        <w:t>Topics Included:</w:t>
      </w:r>
    </w:p>
    <w:p w14:paraId="67D5BE6B" w14:textId="77777777" w:rsidR="007A0BE8" w:rsidRPr="000A37B3" w:rsidRDefault="007A0BE8" w:rsidP="007A0BE8">
      <w:pPr>
        <w:pStyle w:val="ListParagraph"/>
        <w:numPr>
          <w:ilvl w:val="0"/>
          <w:numId w:val="31"/>
        </w:numPr>
        <w:pBdr>
          <w:top w:val="nil"/>
          <w:left w:val="nil"/>
          <w:bottom w:val="nil"/>
          <w:right w:val="nil"/>
          <w:between w:val="nil"/>
          <w:bar w:val="nil"/>
        </w:pBdr>
        <w:spacing w:after="0" w:line="240" w:lineRule="auto"/>
        <w:contextualSpacing w:val="0"/>
      </w:pPr>
      <w:r w:rsidRPr="000A37B3">
        <w:t xml:space="preserve">Sharing specific SE strategies between states to address emerging challenges </w:t>
      </w:r>
      <w:r>
        <w:t xml:space="preserve">such </w:t>
      </w:r>
      <w:r w:rsidRPr="000A37B3">
        <w:t>as providing more virtual services given the current COVID</w:t>
      </w:r>
      <w:r>
        <w:t xml:space="preserve"> </w:t>
      </w:r>
      <w:r w:rsidRPr="000A37B3">
        <w:t>19 virus.</w:t>
      </w:r>
    </w:p>
    <w:p w14:paraId="0DF6F108" w14:textId="77777777" w:rsidR="007A0BE8" w:rsidRPr="000A37B3" w:rsidRDefault="007A0BE8" w:rsidP="007A0BE8">
      <w:pPr>
        <w:pStyle w:val="ListParagraph"/>
        <w:numPr>
          <w:ilvl w:val="0"/>
          <w:numId w:val="31"/>
        </w:numPr>
        <w:pBdr>
          <w:top w:val="nil"/>
          <w:left w:val="nil"/>
          <w:bottom w:val="nil"/>
          <w:right w:val="nil"/>
          <w:between w:val="nil"/>
          <w:bar w:val="nil"/>
        </w:pBdr>
        <w:spacing w:after="0" w:line="240" w:lineRule="auto"/>
        <w:contextualSpacing w:val="0"/>
      </w:pPr>
      <w:r w:rsidRPr="000A37B3">
        <w:t>CRP capacity building strategies including addressing provider turnover, quality, training and monitoring of SE services and provider fee structures.</w:t>
      </w:r>
    </w:p>
    <w:p w14:paraId="5589716F" w14:textId="77777777" w:rsidR="007A0BE8" w:rsidRPr="000A37B3" w:rsidRDefault="007A0BE8" w:rsidP="007A0BE8">
      <w:pPr>
        <w:pStyle w:val="ListParagraph"/>
        <w:numPr>
          <w:ilvl w:val="0"/>
          <w:numId w:val="31"/>
        </w:numPr>
        <w:pBdr>
          <w:top w:val="nil"/>
          <w:left w:val="nil"/>
          <w:bottom w:val="nil"/>
          <w:right w:val="nil"/>
          <w:between w:val="nil"/>
          <w:bar w:val="nil"/>
        </w:pBdr>
        <w:spacing w:after="0" w:line="240" w:lineRule="auto"/>
        <w:contextualSpacing w:val="0"/>
      </w:pPr>
      <w:r w:rsidRPr="000A37B3">
        <w:t xml:space="preserve">States sharing providing overviews of how they have structured and are successfully providing SE services.   </w:t>
      </w:r>
    </w:p>
    <w:p w14:paraId="14D18BA4" w14:textId="77777777" w:rsidR="007A0BE8" w:rsidRPr="000A37B3" w:rsidRDefault="007A0BE8" w:rsidP="007A0BE8">
      <w:pPr>
        <w:pStyle w:val="ListParagraph"/>
        <w:numPr>
          <w:ilvl w:val="0"/>
          <w:numId w:val="31"/>
        </w:numPr>
        <w:spacing w:before="240" w:after="240" w:line="276" w:lineRule="auto"/>
        <w:rPr>
          <w:rFonts w:eastAsia="Arial"/>
          <w:lang w:val="en"/>
        </w:rPr>
      </w:pPr>
      <w:r w:rsidRPr="000A37B3">
        <w:rPr>
          <w:rFonts w:eastAsia="Arial"/>
          <w:lang w:val="en"/>
        </w:rPr>
        <w:lastRenderedPageBreak/>
        <w:t>Strategies to transition folks from Sheltered Employment to SE/CIE.</w:t>
      </w:r>
    </w:p>
    <w:p w14:paraId="45E6BDA9" w14:textId="77777777" w:rsidR="007A0BE8" w:rsidRPr="000A37B3" w:rsidRDefault="007A0BE8" w:rsidP="007A0BE8">
      <w:pPr>
        <w:pStyle w:val="ListParagraph"/>
        <w:numPr>
          <w:ilvl w:val="0"/>
          <w:numId w:val="31"/>
        </w:numPr>
        <w:spacing w:before="240" w:after="240" w:line="276" w:lineRule="auto"/>
        <w:rPr>
          <w:rFonts w:eastAsia="Arial"/>
          <w:lang w:val="en"/>
        </w:rPr>
      </w:pPr>
      <w:r w:rsidRPr="000A37B3">
        <w:rPr>
          <w:rFonts w:eastAsia="Arial"/>
          <w:lang w:val="en"/>
        </w:rPr>
        <w:t>OJTs as a potential service under SE.</w:t>
      </w:r>
    </w:p>
    <w:p w14:paraId="4006E73E" w14:textId="77777777" w:rsidR="007A0BE8" w:rsidRPr="000A37B3" w:rsidRDefault="007A0BE8" w:rsidP="007A0BE8">
      <w:pPr>
        <w:pStyle w:val="ListParagraph"/>
        <w:numPr>
          <w:ilvl w:val="0"/>
          <w:numId w:val="31"/>
        </w:numPr>
        <w:spacing w:before="240" w:after="240" w:line="276" w:lineRule="auto"/>
        <w:rPr>
          <w:rFonts w:eastAsia="Arial"/>
          <w:lang w:val="en"/>
        </w:rPr>
      </w:pPr>
      <w:r w:rsidRPr="000A37B3">
        <w:rPr>
          <w:rFonts w:eastAsia="Arial"/>
          <w:lang w:val="en"/>
        </w:rPr>
        <w:t xml:space="preserve">What protocols are in place to verify provision of services by CRPs. </w:t>
      </w:r>
    </w:p>
    <w:p w14:paraId="63E2101C" w14:textId="77777777" w:rsidR="007A0BE8" w:rsidRPr="00D26477" w:rsidRDefault="007A0BE8" w:rsidP="007A0BE8">
      <w:pPr>
        <w:pStyle w:val="ListParagraph"/>
        <w:numPr>
          <w:ilvl w:val="0"/>
          <w:numId w:val="31"/>
        </w:numPr>
        <w:spacing w:before="100" w:beforeAutospacing="1" w:after="100" w:afterAutospacing="1"/>
      </w:pPr>
      <w:r w:rsidRPr="000A37B3">
        <w:t>Strategies related to VR agencies partnering with employers to pay them directly to provide supports and training that a CRP would typically provide.</w:t>
      </w:r>
    </w:p>
    <w:p w14:paraId="74915198" w14:textId="77777777" w:rsidR="00277D70" w:rsidRDefault="00277D70" w:rsidP="00277D70">
      <w:pPr>
        <w:pStyle w:val="Heading2"/>
        <w:spacing w:before="360" w:after="120"/>
      </w:pPr>
      <w:bookmarkStart w:id="13" w:name="_Toc92084374"/>
      <w:r>
        <w:t>Executive Leadership Seminar Series:</w:t>
      </w:r>
      <w:bookmarkEnd w:id="13"/>
    </w:p>
    <w:p w14:paraId="33BEEB87" w14:textId="77777777" w:rsidR="009A2408" w:rsidRDefault="00794CA9" w:rsidP="00794CA9">
      <w:pPr>
        <w:spacing w:line="276" w:lineRule="auto"/>
      </w:pPr>
      <w:r>
        <w:t xml:space="preserve">The Executive Leadership Seminar Series </w:t>
      </w:r>
      <w:r w:rsidR="009A2408">
        <w:t>continues to be an important venue for the provision of TA and training to executive leaders of the VR program across the country. In addition to partially supporting the instructors in the year-long program, the several staff form the VRTAC-QM team present regularly to participants. Each participant completes a year-long group project, much like a capstone project. The four culminating projects this year were as follows:</w:t>
      </w:r>
    </w:p>
    <w:p w14:paraId="7F41373D" w14:textId="4FDC7B3A" w:rsidR="00794CA9" w:rsidRDefault="009A2408" w:rsidP="009A2408">
      <w:pPr>
        <w:pStyle w:val="ListParagraph"/>
        <w:numPr>
          <w:ilvl w:val="6"/>
          <w:numId w:val="27"/>
        </w:numPr>
        <w:spacing w:line="276" w:lineRule="auto"/>
        <w:ind w:left="720"/>
      </w:pPr>
      <w:r>
        <w:t>Why it is imperative that VR agencies keep excellent employees (retention</w:t>
      </w:r>
      <w:proofErr w:type="gramStart"/>
      <w:r>
        <w:t>);</w:t>
      </w:r>
      <w:proofErr w:type="gramEnd"/>
    </w:p>
    <w:p w14:paraId="58704C7E" w14:textId="2048D7AC" w:rsidR="009A2408" w:rsidRDefault="00FF4876" w:rsidP="009A2408">
      <w:pPr>
        <w:pStyle w:val="ListParagraph"/>
        <w:numPr>
          <w:ilvl w:val="6"/>
          <w:numId w:val="27"/>
        </w:numPr>
        <w:spacing w:line="276" w:lineRule="auto"/>
        <w:ind w:left="720"/>
      </w:pPr>
      <w:r>
        <w:t xml:space="preserve">Advancing services to individuals with disabilities be re-envisioning VR service </w:t>
      </w:r>
      <w:proofErr w:type="gramStart"/>
      <w:r>
        <w:t>delivery;</w:t>
      </w:r>
      <w:proofErr w:type="gramEnd"/>
    </w:p>
    <w:p w14:paraId="5391ED48" w14:textId="0B4B7065" w:rsidR="00FF4876" w:rsidRDefault="00FF4876" w:rsidP="009A2408">
      <w:pPr>
        <w:pStyle w:val="ListParagraph"/>
        <w:numPr>
          <w:ilvl w:val="6"/>
          <w:numId w:val="27"/>
        </w:numPr>
        <w:spacing w:line="276" w:lineRule="auto"/>
        <w:ind w:left="720"/>
      </w:pPr>
      <w:r>
        <w:t>Putting business services first and the impact it can have on a VR system; and</w:t>
      </w:r>
    </w:p>
    <w:p w14:paraId="68239B5F" w14:textId="1865121F" w:rsidR="00FF4876" w:rsidRDefault="00FF4876" w:rsidP="009A2408">
      <w:pPr>
        <w:pStyle w:val="ListParagraph"/>
        <w:numPr>
          <w:ilvl w:val="6"/>
          <w:numId w:val="27"/>
        </w:numPr>
        <w:spacing w:line="276" w:lineRule="auto"/>
        <w:ind w:left="720"/>
      </w:pPr>
      <w:r>
        <w:t>Staff Development: The future lies within the public VR program.</w:t>
      </w:r>
    </w:p>
    <w:p w14:paraId="7874E462" w14:textId="1CA8EA50" w:rsidR="00FF4876" w:rsidRDefault="00FF4876" w:rsidP="00FF4876">
      <w:pPr>
        <w:spacing w:line="276" w:lineRule="auto"/>
      </w:pPr>
      <w:r>
        <w:t>A new cohort will begin in January of 2022.</w:t>
      </w:r>
    </w:p>
    <w:p w14:paraId="02BA39F0" w14:textId="77777777" w:rsidR="00277D70" w:rsidRDefault="00277D70" w:rsidP="00277D70">
      <w:pPr>
        <w:pStyle w:val="Heading2"/>
        <w:spacing w:before="240" w:after="120"/>
      </w:pPr>
      <w:bookmarkStart w:id="14" w:name="_Toc92084375"/>
      <w:r>
        <w:t>Program Evaluation:</w:t>
      </w:r>
      <w:bookmarkEnd w:id="14"/>
    </w:p>
    <w:p w14:paraId="3D4D4F41" w14:textId="0297F7AA" w:rsidR="00277D70" w:rsidRDefault="00FF4876" w:rsidP="00794CA9">
      <w:r>
        <w:t>Full program evaluation results will be included in the program evaluation report that will be delivered 30 days after the submission of this report.</w:t>
      </w:r>
    </w:p>
    <w:p w14:paraId="112B2E33" w14:textId="613EC624" w:rsidR="002C2CD0" w:rsidRDefault="000142D8" w:rsidP="002C2CD0">
      <w:pPr>
        <w:rPr>
          <w:b/>
          <w:sz w:val="28"/>
        </w:rPr>
      </w:pPr>
      <w:r>
        <w:rPr>
          <w:rFonts w:eastAsia="Times New Roman"/>
          <w:b/>
          <w:bCs/>
          <w:szCs w:val="28"/>
        </w:rPr>
        <w:br w:type="page"/>
      </w:r>
    </w:p>
    <w:p w14:paraId="409813D9" w14:textId="315ED849" w:rsidR="00D47436" w:rsidRDefault="00D47436" w:rsidP="00D47436">
      <w:pPr>
        <w:pStyle w:val="Heading1"/>
        <w:spacing w:before="240"/>
      </w:pPr>
      <w:bookmarkStart w:id="15" w:name="_Toc92084376"/>
      <w:r>
        <w:lastRenderedPageBreak/>
        <w:t>Universal TA</w:t>
      </w:r>
      <w:bookmarkEnd w:id="15"/>
    </w:p>
    <w:p w14:paraId="253E43F3" w14:textId="35735E5A" w:rsidR="00D47436" w:rsidRDefault="001C6C96" w:rsidP="00D47436">
      <w:pPr>
        <w:pStyle w:val="Style1"/>
      </w:pPr>
      <w:r>
        <w:t xml:space="preserve">Universal TA for the VRTAC-QM has consisted of tools and training on our website, </w:t>
      </w:r>
      <w:proofErr w:type="gramStart"/>
      <w:r>
        <w:t>webinars</w:t>
      </w:r>
      <w:proofErr w:type="gramEnd"/>
      <w:r>
        <w:t xml:space="preserve"> and social media. We are adding to our website daily and have a staff person responsible for our Social Media presence. There are literally hundreds of resources available on the website and it grows constantly. </w:t>
      </w:r>
    </w:p>
    <w:p w14:paraId="60C18C21" w14:textId="7EAD38C4" w:rsidR="00292209" w:rsidRPr="00D47436" w:rsidRDefault="007C279B" w:rsidP="000921E8">
      <w:pPr>
        <w:pStyle w:val="Heading2"/>
        <w:spacing w:after="240"/>
      </w:pPr>
      <w:bookmarkStart w:id="16" w:name="_Toc92084377"/>
      <w:r>
        <w:t>Website Analytics</w:t>
      </w:r>
      <w:r w:rsidR="00222120">
        <w:t>:</w:t>
      </w:r>
      <w:bookmarkEnd w:id="16"/>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95"/>
        <w:gridCol w:w="1417"/>
      </w:tblGrid>
      <w:tr w:rsidR="000921E8" w:rsidRPr="003434B9" w14:paraId="2B703C3C" w14:textId="77777777" w:rsidTr="00EB5137">
        <w:trPr>
          <w:tblHeader/>
        </w:trPr>
        <w:tc>
          <w:tcPr>
            <w:tcW w:w="6295" w:type="dxa"/>
            <w:shd w:val="clear" w:color="auto" w:fill="DEEAF6" w:themeFill="accent1" w:themeFillTint="33"/>
            <w:vAlign w:val="bottom"/>
          </w:tcPr>
          <w:p w14:paraId="7A24F604" w14:textId="77777777" w:rsidR="000921E8" w:rsidRPr="003434B9" w:rsidRDefault="000921E8" w:rsidP="00EB5137">
            <w:pPr>
              <w:spacing w:before="60" w:after="60" w:line="276" w:lineRule="auto"/>
              <w:jc w:val="center"/>
              <w:rPr>
                <w:rFonts w:ascii="Times New Roman" w:eastAsia="Times New Roman" w:hAnsi="Times New Roman" w:cs="Times New Roman"/>
                <w:b/>
                <w:sz w:val="24"/>
                <w:szCs w:val="24"/>
              </w:rPr>
            </w:pPr>
            <w:bookmarkStart w:id="17" w:name="_Toc448087439"/>
            <w:r w:rsidRPr="003434B9">
              <w:rPr>
                <w:rFonts w:ascii="Times New Roman" w:eastAsia="Times New Roman" w:hAnsi="Times New Roman" w:cs="Times New Roman"/>
                <w:b/>
                <w:sz w:val="24"/>
                <w:szCs w:val="24"/>
              </w:rPr>
              <w:t>Overview</w:t>
            </w:r>
          </w:p>
        </w:tc>
        <w:tc>
          <w:tcPr>
            <w:tcW w:w="1417" w:type="dxa"/>
            <w:shd w:val="clear" w:color="auto" w:fill="DEEAF6" w:themeFill="accent1" w:themeFillTint="33"/>
            <w:vAlign w:val="bottom"/>
          </w:tcPr>
          <w:p w14:paraId="76FEE3A6" w14:textId="77777777" w:rsidR="000921E8" w:rsidRPr="003434B9" w:rsidRDefault="000921E8" w:rsidP="00EB5137">
            <w:pPr>
              <w:spacing w:before="60" w:after="60" w:line="276" w:lineRule="auto"/>
              <w:jc w:val="center"/>
              <w:rPr>
                <w:rFonts w:ascii="Times New Roman" w:eastAsia="Times New Roman" w:hAnsi="Times New Roman" w:cs="Times New Roman"/>
                <w:b/>
                <w:bCs/>
                <w:sz w:val="24"/>
                <w:szCs w:val="24"/>
              </w:rPr>
            </w:pPr>
            <w:r w:rsidRPr="003434B9">
              <w:rPr>
                <w:rFonts w:ascii="Times New Roman" w:eastAsia="Times New Roman" w:hAnsi="Times New Roman" w:cs="Times New Roman"/>
                <w:b/>
                <w:bCs/>
                <w:sz w:val="24"/>
                <w:szCs w:val="24"/>
              </w:rPr>
              <w:t>Counts</w:t>
            </w:r>
          </w:p>
        </w:tc>
      </w:tr>
      <w:tr w:rsidR="000921E8" w:rsidRPr="003434B9" w14:paraId="69A6E138" w14:textId="77777777" w:rsidTr="00EB5137">
        <w:tc>
          <w:tcPr>
            <w:tcW w:w="6295" w:type="dxa"/>
          </w:tcPr>
          <w:p w14:paraId="0BC3970D" w14:textId="77777777" w:rsidR="000921E8" w:rsidRPr="003434B9" w:rsidRDefault="000921E8" w:rsidP="00EB5137">
            <w:pPr>
              <w:tabs>
                <w:tab w:val="left" w:pos="404"/>
              </w:tabs>
              <w:spacing w:before="20" w:after="20" w:line="276" w:lineRule="auto"/>
              <w:ind w:left="44"/>
              <w:rPr>
                <w:rFonts w:ascii="Times New Roman" w:eastAsia="Times New Roman" w:hAnsi="Times New Roman" w:cs="Times New Roman"/>
                <w:sz w:val="24"/>
                <w:szCs w:val="24"/>
              </w:rPr>
            </w:pPr>
            <w:r w:rsidRPr="003434B9">
              <w:rPr>
                <w:rFonts w:ascii="Times New Roman" w:eastAsia="Times New Roman" w:hAnsi="Times New Roman" w:cs="Times New Roman"/>
                <w:sz w:val="24"/>
                <w:szCs w:val="24"/>
              </w:rPr>
              <w:t>Unique visitors</w:t>
            </w:r>
          </w:p>
        </w:tc>
        <w:tc>
          <w:tcPr>
            <w:tcW w:w="1417" w:type="dxa"/>
            <w:vAlign w:val="bottom"/>
          </w:tcPr>
          <w:p w14:paraId="69868B9C"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 xml:space="preserve">         3,829 </w:t>
            </w:r>
          </w:p>
        </w:tc>
      </w:tr>
      <w:tr w:rsidR="000921E8" w:rsidRPr="003434B9" w14:paraId="06543EA1" w14:textId="77777777" w:rsidTr="00EB5137">
        <w:tc>
          <w:tcPr>
            <w:tcW w:w="6295" w:type="dxa"/>
          </w:tcPr>
          <w:p w14:paraId="421B23B8" w14:textId="77777777" w:rsidR="000921E8" w:rsidRPr="003434B9" w:rsidRDefault="000921E8" w:rsidP="00EB5137">
            <w:pPr>
              <w:tabs>
                <w:tab w:val="left" w:pos="404"/>
              </w:tabs>
              <w:spacing w:before="20" w:after="20" w:line="276" w:lineRule="auto"/>
              <w:ind w:left="44"/>
              <w:rPr>
                <w:rFonts w:ascii="Times New Roman" w:eastAsia="Times New Roman" w:hAnsi="Times New Roman" w:cs="Times New Roman"/>
                <w:sz w:val="24"/>
                <w:szCs w:val="24"/>
              </w:rPr>
            </w:pPr>
            <w:r w:rsidRPr="003434B9">
              <w:rPr>
                <w:rFonts w:ascii="Times New Roman" w:eastAsia="Times New Roman" w:hAnsi="Times New Roman" w:cs="Times New Roman"/>
                <w:sz w:val="24"/>
                <w:szCs w:val="24"/>
              </w:rPr>
              <w:t>Page views</w:t>
            </w:r>
          </w:p>
        </w:tc>
        <w:tc>
          <w:tcPr>
            <w:tcW w:w="1417" w:type="dxa"/>
            <w:vAlign w:val="bottom"/>
          </w:tcPr>
          <w:p w14:paraId="263625C8"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 xml:space="preserve">       31,378 </w:t>
            </w:r>
          </w:p>
        </w:tc>
      </w:tr>
      <w:tr w:rsidR="000921E8" w:rsidRPr="003434B9" w14:paraId="09DA67E8" w14:textId="77777777" w:rsidTr="00EB5137">
        <w:tc>
          <w:tcPr>
            <w:tcW w:w="6295" w:type="dxa"/>
          </w:tcPr>
          <w:p w14:paraId="68F35936" w14:textId="77777777" w:rsidR="000921E8" w:rsidRPr="003434B9" w:rsidRDefault="000921E8" w:rsidP="00EB5137">
            <w:pPr>
              <w:tabs>
                <w:tab w:val="left" w:pos="404"/>
              </w:tabs>
              <w:spacing w:before="20" w:after="20" w:line="276" w:lineRule="auto"/>
              <w:ind w:left="44"/>
              <w:rPr>
                <w:rFonts w:ascii="Times New Roman" w:eastAsia="Times New Roman" w:hAnsi="Times New Roman" w:cs="Times New Roman"/>
                <w:sz w:val="24"/>
                <w:szCs w:val="24"/>
              </w:rPr>
            </w:pPr>
            <w:r w:rsidRPr="003434B9">
              <w:rPr>
                <w:rFonts w:ascii="Times New Roman" w:eastAsia="Times New Roman" w:hAnsi="Times New Roman" w:cs="Times New Roman"/>
                <w:sz w:val="24"/>
                <w:szCs w:val="24"/>
              </w:rPr>
              <w:t>Visits</w:t>
            </w:r>
          </w:p>
        </w:tc>
        <w:tc>
          <w:tcPr>
            <w:tcW w:w="1417" w:type="dxa"/>
            <w:vAlign w:val="bottom"/>
          </w:tcPr>
          <w:p w14:paraId="5AB26BB2"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 xml:space="preserve">         7,974 </w:t>
            </w:r>
          </w:p>
        </w:tc>
      </w:tr>
      <w:tr w:rsidR="000921E8" w:rsidRPr="003434B9" w14:paraId="459B059C" w14:textId="77777777" w:rsidTr="00EB5137">
        <w:tc>
          <w:tcPr>
            <w:tcW w:w="6295" w:type="dxa"/>
          </w:tcPr>
          <w:p w14:paraId="1AD0D366" w14:textId="77777777" w:rsidR="000921E8" w:rsidRPr="003434B9" w:rsidRDefault="000921E8" w:rsidP="00EB5137">
            <w:pPr>
              <w:tabs>
                <w:tab w:val="left" w:pos="404"/>
              </w:tabs>
              <w:spacing w:before="20" w:after="20" w:line="276" w:lineRule="auto"/>
              <w:ind w:left="44"/>
              <w:rPr>
                <w:rFonts w:ascii="Times New Roman" w:eastAsia="Times New Roman" w:hAnsi="Times New Roman" w:cs="Times New Roman"/>
                <w:sz w:val="24"/>
                <w:szCs w:val="24"/>
              </w:rPr>
            </w:pPr>
            <w:r w:rsidRPr="003434B9">
              <w:rPr>
                <w:rFonts w:ascii="Times New Roman" w:eastAsia="Times New Roman" w:hAnsi="Times New Roman" w:cs="Times New Roman"/>
                <w:sz w:val="24"/>
                <w:szCs w:val="24"/>
              </w:rPr>
              <w:t>Returning Visitors</w:t>
            </w:r>
          </w:p>
        </w:tc>
        <w:tc>
          <w:tcPr>
            <w:tcW w:w="1417" w:type="dxa"/>
            <w:vAlign w:val="bottom"/>
          </w:tcPr>
          <w:p w14:paraId="584AB8A9"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0.5%</w:t>
            </w:r>
          </w:p>
        </w:tc>
      </w:tr>
      <w:tr w:rsidR="000921E8" w:rsidRPr="003434B9" w14:paraId="7F3CC6C8" w14:textId="77777777" w:rsidTr="00EB5137">
        <w:tc>
          <w:tcPr>
            <w:tcW w:w="6295" w:type="dxa"/>
          </w:tcPr>
          <w:p w14:paraId="6732FFD2" w14:textId="77777777" w:rsidR="000921E8" w:rsidRPr="003434B9" w:rsidRDefault="000921E8" w:rsidP="00EB5137">
            <w:pPr>
              <w:tabs>
                <w:tab w:val="left" w:pos="404"/>
              </w:tabs>
              <w:spacing w:before="20" w:after="20" w:line="276" w:lineRule="auto"/>
              <w:ind w:left="44"/>
              <w:rPr>
                <w:rFonts w:ascii="Times New Roman" w:hAnsi="Times New Roman" w:cs="Times New Roman"/>
                <w:sz w:val="24"/>
                <w:szCs w:val="24"/>
              </w:rPr>
            </w:pPr>
            <w:r w:rsidRPr="003434B9">
              <w:rPr>
                <w:rFonts w:ascii="Times New Roman" w:hAnsi="Times New Roman" w:cs="Times New Roman"/>
                <w:sz w:val="24"/>
                <w:szCs w:val="24"/>
              </w:rPr>
              <w:t>New Visitors</w:t>
            </w:r>
          </w:p>
        </w:tc>
        <w:tc>
          <w:tcPr>
            <w:tcW w:w="1417" w:type="dxa"/>
            <w:vAlign w:val="bottom"/>
          </w:tcPr>
          <w:p w14:paraId="2A8D0670"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99.5%</w:t>
            </w:r>
          </w:p>
        </w:tc>
      </w:tr>
      <w:tr w:rsidR="000921E8" w:rsidRPr="003434B9" w14:paraId="5BCB0BE0" w14:textId="77777777" w:rsidTr="00EB5137">
        <w:tc>
          <w:tcPr>
            <w:tcW w:w="6295" w:type="dxa"/>
          </w:tcPr>
          <w:p w14:paraId="59A2ED87" w14:textId="77777777" w:rsidR="000921E8" w:rsidRPr="003434B9" w:rsidRDefault="000921E8" w:rsidP="00EB5137">
            <w:pPr>
              <w:tabs>
                <w:tab w:val="left" w:pos="404"/>
              </w:tabs>
              <w:spacing w:before="20" w:after="20" w:line="276" w:lineRule="auto"/>
              <w:ind w:left="44"/>
              <w:rPr>
                <w:rFonts w:ascii="Times New Roman" w:hAnsi="Times New Roman" w:cs="Times New Roman"/>
                <w:sz w:val="24"/>
                <w:szCs w:val="24"/>
              </w:rPr>
            </w:pPr>
            <w:r w:rsidRPr="003434B9">
              <w:rPr>
                <w:rFonts w:ascii="Times New Roman" w:hAnsi="Times New Roman" w:cs="Times New Roman"/>
                <w:sz w:val="24"/>
                <w:szCs w:val="24"/>
              </w:rPr>
              <w:t>Pages per Visit</w:t>
            </w:r>
          </w:p>
        </w:tc>
        <w:tc>
          <w:tcPr>
            <w:tcW w:w="1417" w:type="dxa"/>
            <w:vAlign w:val="bottom"/>
          </w:tcPr>
          <w:p w14:paraId="5A7F2C15" w14:textId="77777777" w:rsidR="000921E8" w:rsidRPr="003434B9" w:rsidRDefault="000921E8" w:rsidP="00EB5137">
            <w:pPr>
              <w:spacing w:before="20" w:after="20" w:line="276" w:lineRule="auto"/>
              <w:jc w:val="right"/>
              <w:rPr>
                <w:rFonts w:ascii="Times New Roman" w:eastAsia="Times New Roman" w:hAnsi="Times New Roman" w:cs="Times New Roman"/>
                <w:b/>
                <w:bCs/>
                <w:sz w:val="24"/>
                <w:szCs w:val="24"/>
              </w:rPr>
            </w:pPr>
            <w:r w:rsidRPr="003434B9">
              <w:rPr>
                <w:rFonts w:ascii="Times New Roman" w:eastAsia="Times New Roman" w:hAnsi="Times New Roman" w:cs="Times New Roman"/>
                <w:sz w:val="24"/>
                <w:szCs w:val="24"/>
              </w:rPr>
              <w:t>3.9</w:t>
            </w:r>
          </w:p>
        </w:tc>
      </w:tr>
      <w:tr w:rsidR="000921E8" w:rsidRPr="003434B9" w14:paraId="6BCA8159" w14:textId="77777777" w:rsidTr="00EB5137">
        <w:tc>
          <w:tcPr>
            <w:tcW w:w="6295" w:type="dxa"/>
          </w:tcPr>
          <w:p w14:paraId="17937FF2" w14:textId="77777777" w:rsidR="000921E8" w:rsidRPr="003434B9" w:rsidRDefault="000921E8" w:rsidP="00EB5137">
            <w:pPr>
              <w:tabs>
                <w:tab w:val="left" w:pos="404"/>
              </w:tabs>
              <w:spacing w:before="20" w:after="20" w:line="276" w:lineRule="auto"/>
              <w:ind w:left="44"/>
              <w:rPr>
                <w:rFonts w:ascii="Times New Roman" w:hAnsi="Times New Roman" w:cs="Times New Roman"/>
                <w:sz w:val="24"/>
                <w:szCs w:val="24"/>
              </w:rPr>
            </w:pPr>
            <w:r w:rsidRPr="003434B9">
              <w:rPr>
                <w:rFonts w:ascii="Times New Roman" w:hAnsi="Times New Roman" w:cs="Times New Roman"/>
                <w:sz w:val="24"/>
                <w:szCs w:val="24"/>
              </w:rPr>
              <w:t>Average Duration per Visit</w:t>
            </w:r>
          </w:p>
        </w:tc>
        <w:tc>
          <w:tcPr>
            <w:tcW w:w="1417" w:type="dxa"/>
            <w:vAlign w:val="bottom"/>
          </w:tcPr>
          <w:p w14:paraId="10A02C27" w14:textId="77777777" w:rsidR="000921E8" w:rsidRPr="003434B9" w:rsidRDefault="000921E8" w:rsidP="00EB5137">
            <w:pPr>
              <w:spacing w:before="20" w:after="20" w:line="276" w:lineRule="auto"/>
              <w:jc w:val="right"/>
              <w:rPr>
                <w:rFonts w:ascii="Times New Roman" w:hAnsi="Times New Roman" w:cs="Times New Roman"/>
                <w:b/>
                <w:sz w:val="24"/>
                <w:szCs w:val="24"/>
              </w:rPr>
            </w:pPr>
            <w:r w:rsidRPr="003434B9">
              <w:rPr>
                <w:rFonts w:ascii="Times New Roman" w:eastAsia="Times New Roman" w:hAnsi="Times New Roman" w:cs="Times New Roman"/>
                <w:sz w:val="24"/>
                <w:szCs w:val="24"/>
              </w:rPr>
              <w:t>1m 14s</w:t>
            </w:r>
          </w:p>
        </w:tc>
      </w:tr>
    </w:tbl>
    <w:p w14:paraId="666D2113" w14:textId="77777777" w:rsidR="007C279B" w:rsidRPr="002D4DAD" w:rsidRDefault="007C279B" w:rsidP="007C279B">
      <w:pPr>
        <w:shd w:val="clear" w:color="auto" w:fill="E2EFD9" w:themeFill="accent6" w:themeFillTint="33"/>
        <w:rPr>
          <w:b/>
        </w:rPr>
      </w:pPr>
      <w:r w:rsidRPr="002D4DAD">
        <w:rPr>
          <w:b/>
        </w:rPr>
        <w:t>Top 10 Pages Visited</w:t>
      </w:r>
      <w:bookmarkEnd w:id="17"/>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op 10 Pages Visited"/>
      </w:tblPr>
      <w:tblGrid>
        <w:gridCol w:w="6295"/>
        <w:gridCol w:w="1417"/>
        <w:gridCol w:w="1525"/>
      </w:tblGrid>
      <w:tr w:rsidR="000921E8" w:rsidRPr="002D4DAD" w14:paraId="4E9DDDA6" w14:textId="77777777" w:rsidTr="001126BD">
        <w:trPr>
          <w:tblHeader/>
        </w:trPr>
        <w:tc>
          <w:tcPr>
            <w:tcW w:w="6295" w:type="dxa"/>
            <w:shd w:val="clear" w:color="auto" w:fill="D5DCE4" w:themeFill="text2" w:themeFillTint="33"/>
            <w:vAlign w:val="bottom"/>
          </w:tcPr>
          <w:p w14:paraId="039ACE8A" w14:textId="546A5681" w:rsidR="000921E8" w:rsidRPr="002D4DAD" w:rsidRDefault="000921E8" w:rsidP="000921E8">
            <w:pPr>
              <w:spacing w:before="0" w:after="0"/>
              <w:jc w:val="center"/>
              <w:rPr>
                <w:rFonts w:ascii="Times New Roman" w:eastAsia="Times New Roman" w:hAnsi="Times New Roman" w:cs="Times New Roman"/>
                <w:b/>
                <w:sz w:val="24"/>
                <w:szCs w:val="24"/>
              </w:rPr>
            </w:pPr>
            <w:r w:rsidRPr="003434B9">
              <w:rPr>
                <w:rFonts w:ascii="Times New Roman" w:eastAsia="Times New Roman" w:hAnsi="Times New Roman" w:cs="Times New Roman"/>
                <w:b/>
                <w:sz w:val="24"/>
                <w:szCs w:val="24"/>
              </w:rPr>
              <w:t>Pages</w:t>
            </w:r>
          </w:p>
        </w:tc>
        <w:tc>
          <w:tcPr>
            <w:tcW w:w="1417" w:type="dxa"/>
            <w:shd w:val="clear" w:color="auto" w:fill="D5DCE4" w:themeFill="text2" w:themeFillTint="33"/>
            <w:vAlign w:val="bottom"/>
          </w:tcPr>
          <w:p w14:paraId="64F2488A" w14:textId="329C050D" w:rsidR="000921E8" w:rsidRPr="002D4DAD" w:rsidRDefault="000921E8" w:rsidP="000921E8">
            <w:pPr>
              <w:spacing w:before="0" w:after="0"/>
              <w:jc w:val="center"/>
              <w:rPr>
                <w:rFonts w:ascii="Times New Roman" w:eastAsia="Times New Roman" w:hAnsi="Times New Roman" w:cs="Times New Roman"/>
                <w:b/>
                <w:bCs/>
                <w:sz w:val="24"/>
                <w:szCs w:val="24"/>
              </w:rPr>
            </w:pPr>
            <w:r w:rsidRPr="003434B9">
              <w:rPr>
                <w:rFonts w:ascii="Times New Roman" w:eastAsia="Times New Roman" w:hAnsi="Times New Roman" w:cs="Times New Roman"/>
                <w:b/>
                <w:bCs/>
                <w:sz w:val="24"/>
                <w:szCs w:val="24"/>
              </w:rPr>
              <w:t>Page Views</w:t>
            </w:r>
          </w:p>
        </w:tc>
        <w:tc>
          <w:tcPr>
            <w:tcW w:w="1525" w:type="dxa"/>
            <w:shd w:val="clear" w:color="auto" w:fill="D5DCE4" w:themeFill="text2" w:themeFillTint="33"/>
            <w:vAlign w:val="bottom"/>
          </w:tcPr>
          <w:p w14:paraId="3DD5D01E" w14:textId="47776071" w:rsidR="000921E8" w:rsidRPr="002D4DAD" w:rsidRDefault="000921E8" w:rsidP="000921E8">
            <w:pPr>
              <w:spacing w:before="0" w:after="0"/>
              <w:jc w:val="center"/>
              <w:rPr>
                <w:rFonts w:ascii="Times New Roman" w:eastAsia="Times New Roman" w:hAnsi="Times New Roman" w:cs="Times New Roman"/>
                <w:b/>
                <w:sz w:val="24"/>
                <w:szCs w:val="24"/>
              </w:rPr>
            </w:pPr>
            <w:r w:rsidRPr="003434B9">
              <w:rPr>
                <w:rFonts w:ascii="Times New Roman" w:eastAsia="Times New Roman" w:hAnsi="Times New Roman" w:cs="Times New Roman"/>
                <w:b/>
                <w:sz w:val="24"/>
                <w:szCs w:val="24"/>
              </w:rPr>
              <w:t>Percentage</w:t>
            </w:r>
          </w:p>
        </w:tc>
      </w:tr>
      <w:tr w:rsidR="000921E8" w:rsidRPr="002D4DAD" w14:paraId="3106D963" w14:textId="77777777" w:rsidTr="001126BD">
        <w:tc>
          <w:tcPr>
            <w:tcW w:w="6295" w:type="dxa"/>
            <w:vAlign w:val="center"/>
          </w:tcPr>
          <w:p w14:paraId="194CFF7A" w14:textId="421C840A" w:rsidR="000921E8" w:rsidRPr="002D4DAD" w:rsidRDefault="000921E8" w:rsidP="000921E8">
            <w:pPr>
              <w:pStyle w:val="ListParagraph"/>
              <w:numPr>
                <w:ilvl w:val="0"/>
                <w:numId w:val="11"/>
              </w:numPr>
              <w:spacing w:before="0" w:after="0"/>
              <w:contextualSpacing w:val="0"/>
              <w:rPr>
                <w:rFonts w:ascii="Times New Roman" w:eastAsia="Times New Roman" w:hAnsi="Times New Roman" w:cs="Times New Roman"/>
                <w:sz w:val="24"/>
                <w:szCs w:val="24"/>
              </w:rPr>
            </w:pPr>
            <w:r w:rsidRPr="003434B9">
              <w:rPr>
                <w:rFonts w:ascii="Times New Roman" w:eastAsia="Times New Roman" w:hAnsi="Times New Roman" w:cs="Times New Roman"/>
                <w:color w:val="000000"/>
                <w:sz w:val="24"/>
                <w:szCs w:val="24"/>
              </w:rPr>
              <w:t>Home | VRTAC-QM</w:t>
            </w:r>
          </w:p>
        </w:tc>
        <w:tc>
          <w:tcPr>
            <w:tcW w:w="1417" w:type="dxa"/>
            <w:vAlign w:val="center"/>
          </w:tcPr>
          <w:p w14:paraId="39F19A73" w14:textId="02884AF4" w:rsidR="000921E8" w:rsidRPr="002D4DAD" w:rsidRDefault="000921E8" w:rsidP="000921E8">
            <w:pPr>
              <w:spacing w:before="0" w:after="0"/>
              <w:jc w:val="right"/>
              <w:rPr>
                <w:rFonts w:ascii="Times New Roman" w:eastAsiaTheme="majorEastAsia" w:hAnsi="Times New Roman" w:cs="Times New Roman"/>
                <w:b/>
                <w:bCs/>
                <w:color w:val="000000" w:themeColor="text1"/>
                <w:sz w:val="24"/>
                <w:szCs w:val="24"/>
              </w:rPr>
            </w:pPr>
            <w:r w:rsidRPr="003434B9">
              <w:rPr>
                <w:rFonts w:ascii="Times New Roman" w:eastAsia="Times New Roman" w:hAnsi="Times New Roman" w:cs="Times New Roman"/>
                <w:color w:val="000000"/>
                <w:sz w:val="24"/>
                <w:szCs w:val="24"/>
              </w:rPr>
              <w:t xml:space="preserve">             7,270 </w:t>
            </w:r>
          </w:p>
        </w:tc>
        <w:tc>
          <w:tcPr>
            <w:tcW w:w="1525" w:type="dxa"/>
            <w:vAlign w:val="center"/>
          </w:tcPr>
          <w:p w14:paraId="04BF1149" w14:textId="1B5A599B" w:rsidR="000921E8" w:rsidRPr="002D4DAD" w:rsidRDefault="000921E8" w:rsidP="000921E8">
            <w:pPr>
              <w:spacing w:before="0" w:after="0"/>
              <w:jc w:val="right"/>
              <w:rPr>
                <w:rFonts w:ascii="Times New Roman" w:eastAsiaTheme="majorEastAsia" w:hAnsi="Times New Roman" w:cs="Times New Roman"/>
                <w:color w:val="000000" w:themeColor="text1"/>
                <w:sz w:val="24"/>
                <w:szCs w:val="24"/>
              </w:rPr>
            </w:pPr>
            <w:r w:rsidRPr="003434B9">
              <w:rPr>
                <w:rFonts w:ascii="Times New Roman" w:eastAsia="Times New Roman" w:hAnsi="Times New Roman" w:cs="Times New Roman"/>
                <w:color w:val="000000"/>
                <w:sz w:val="24"/>
                <w:szCs w:val="24"/>
              </w:rPr>
              <w:t>23%</w:t>
            </w:r>
          </w:p>
        </w:tc>
      </w:tr>
      <w:tr w:rsidR="000921E8" w:rsidRPr="002D4DAD" w14:paraId="52BCA114" w14:textId="77777777" w:rsidTr="001126BD">
        <w:tc>
          <w:tcPr>
            <w:tcW w:w="6295" w:type="dxa"/>
            <w:vAlign w:val="center"/>
          </w:tcPr>
          <w:p w14:paraId="6ECE89D2" w14:textId="6144681A"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Training Portal | VRTAC-QM</w:t>
            </w:r>
          </w:p>
        </w:tc>
        <w:tc>
          <w:tcPr>
            <w:tcW w:w="1417" w:type="dxa"/>
            <w:vAlign w:val="center"/>
          </w:tcPr>
          <w:p w14:paraId="048A3BD9" w14:textId="68DE9552"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1,414 </w:t>
            </w:r>
          </w:p>
        </w:tc>
        <w:tc>
          <w:tcPr>
            <w:tcW w:w="1525" w:type="dxa"/>
            <w:vAlign w:val="center"/>
          </w:tcPr>
          <w:p w14:paraId="46269F5E" w14:textId="07953FA0"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5%</w:t>
            </w:r>
          </w:p>
        </w:tc>
      </w:tr>
      <w:tr w:rsidR="000921E8" w:rsidRPr="002D4DAD" w14:paraId="7E5D290E" w14:textId="77777777" w:rsidTr="001126BD">
        <w:tc>
          <w:tcPr>
            <w:tcW w:w="6295" w:type="dxa"/>
            <w:vAlign w:val="center"/>
          </w:tcPr>
          <w:p w14:paraId="297C647E" w14:textId="0DB3B72C"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About Us | VRTAC-QM</w:t>
            </w:r>
          </w:p>
        </w:tc>
        <w:tc>
          <w:tcPr>
            <w:tcW w:w="1417" w:type="dxa"/>
            <w:vAlign w:val="center"/>
          </w:tcPr>
          <w:p w14:paraId="242802A7" w14:textId="49109C2D"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1,366 </w:t>
            </w:r>
          </w:p>
        </w:tc>
        <w:tc>
          <w:tcPr>
            <w:tcW w:w="1525" w:type="dxa"/>
            <w:vAlign w:val="center"/>
          </w:tcPr>
          <w:p w14:paraId="2DFA8215" w14:textId="5D71C8B2"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4%</w:t>
            </w:r>
          </w:p>
        </w:tc>
      </w:tr>
      <w:tr w:rsidR="000921E8" w:rsidRPr="002D4DAD" w14:paraId="3A3DADBF" w14:textId="77777777" w:rsidTr="001126BD">
        <w:tc>
          <w:tcPr>
            <w:tcW w:w="6295" w:type="dxa"/>
            <w:vAlign w:val="center"/>
          </w:tcPr>
          <w:p w14:paraId="56FCFE96" w14:textId="70CD74F5" w:rsidR="000921E8" w:rsidRPr="002D4DAD" w:rsidRDefault="000921E8" w:rsidP="000921E8">
            <w:pPr>
              <w:pStyle w:val="ListParagraph"/>
              <w:numPr>
                <w:ilvl w:val="0"/>
                <w:numId w:val="11"/>
              </w:numPr>
              <w:spacing w:before="0" w:after="0"/>
              <w:contextualSpacing w:val="0"/>
              <w:jc w:val="both"/>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Program &amp; Performance Quality Management | VRTAC-QM</w:t>
            </w:r>
          </w:p>
        </w:tc>
        <w:tc>
          <w:tcPr>
            <w:tcW w:w="1417" w:type="dxa"/>
            <w:vAlign w:val="center"/>
          </w:tcPr>
          <w:p w14:paraId="42BFAE1D" w14:textId="29EECA3E"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1,272 </w:t>
            </w:r>
          </w:p>
        </w:tc>
        <w:tc>
          <w:tcPr>
            <w:tcW w:w="1525" w:type="dxa"/>
            <w:vAlign w:val="center"/>
          </w:tcPr>
          <w:p w14:paraId="4E875E68" w14:textId="278721B2"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4%</w:t>
            </w:r>
          </w:p>
        </w:tc>
      </w:tr>
      <w:tr w:rsidR="000921E8" w:rsidRPr="002D4DAD" w14:paraId="35803345" w14:textId="77777777" w:rsidTr="001126BD">
        <w:tc>
          <w:tcPr>
            <w:tcW w:w="6295" w:type="dxa"/>
            <w:vAlign w:val="center"/>
          </w:tcPr>
          <w:p w14:paraId="6B3F5CCA" w14:textId="3CDC56D4"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VR Program Fiscal Management | VRTAC-QM</w:t>
            </w:r>
          </w:p>
        </w:tc>
        <w:tc>
          <w:tcPr>
            <w:tcW w:w="1417" w:type="dxa"/>
            <w:vAlign w:val="center"/>
          </w:tcPr>
          <w:p w14:paraId="78D79A81" w14:textId="35E4CB4C"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1,059 </w:t>
            </w:r>
          </w:p>
        </w:tc>
        <w:tc>
          <w:tcPr>
            <w:tcW w:w="1525" w:type="dxa"/>
            <w:vAlign w:val="center"/>
          </w:tcPr>
          <w:p w14:paraId="024F4113" w14:textId="377787C0"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3%</w:t>
            </w:r>
          </w:p>
        </w:tc>
      </w:tr>
      <w:tr w:rsidR="000921E8" w:rsidRPr="002D4DAD" w14:paraId="7C9C2707" w14:textId="77777777" w:rsidTr="001126BD">
        <w:tc>
          <w:tcPr>
            <w:tcW w:w="6295" w:type="dxa"/>
            <w:vAlign w:val="center"/>
          </w:tcPr>
          <w:p w14:paraId="123BAED8" w14:textId="282FD942"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WIOA Performance Accountability System | VRTAC-QM</w:t>
            </w:r>
          </w:p>
        </w:tc>
        <w:tc>
          <w:tcPr>
            <w:tcW w:w="1417" w:type="dxa"/>
            <w:vAlign w:val="center"/>
          </w:tcPr>
          <w:p w14:paraId="16AF579B" w14:textId="17634EB5"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763 </w:t>
            </w:r>
          </w:p>
        </w:tc>
        <w:tc>
          <w:tcPr>
            <w:tcW w:w="1525" w:type="dxa"/>
            <w:vAlign w:val="center"/>
          </w:tcPr>
          <w:p w14:paraId="5FC0A58E" w14:textId="443C2DC6"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2%</w:t>
            </w:r>
          </w:p>
        </w:tc>
      </w:tr>
      <w:tr w:rsidR="000921E8" w:rsidRPr="002D4DAD" w14:paraId="7056F90C" w14:textId="77777777" w:rsidTr="001126BD">
        <w:tc>
          <w:tcPr>
            <w:tcW w:w="6295" w:type="dxa"/>
            <w:vAlign w:val="center"/>
          </w:tcPr>
          <w:p w14:paraId="0D922DB5" w14:textId="5D967471" w:rsidR="000921E8" w:rsidRPr="002D4DAD" w:rsidRDefault="000921E8" w:rsidP="000921E8">
            <w:pPr>
              <w:pStyle w:val="ListParagraph"/>
              <w:numPr>
                <w:ilvl w:val="0"/>
                <w:numId w:val="11"/>
              </w:numPr>
              <w:spacing w:before="0" w:after="0"/>
              <w:contextualSpacing w:val="0"/>
              <w:jc w:val="both"/>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Fiscal &amp; Resource Quality Management | VRTAC-QM</w:t>
            </w:r>
          </w:p>
        </w:tc>
        <w:tc>
          <w:tcPr>
            <w:tcW w:w="1417" w:type="dxa"/>
            <w:vAlign w:val="center"/>
          </w:tcPr>
          <w:p w14:paraId="3BF03D77" w14:textId="7F63CB3B"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706 </w:t>
            </w:r>
          </w:p>
        </w:tc>
        <w:tc>
          <w:tcPr>
            <w:tcW w:w="1525" w:type="dxa"/>
            <w:vAlign w:val="center"/>
          </w:tcPr>
          <w:p w14:paraId="0A72C75D" w14:textId="5976A318"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2%</w:t>
            </w:r>
          </w:p>
        </w:tc>
      </w:tr>
      <w:tr w:rsidR="000921E8" w:rsidRPr="002D4DAD" w14:paraId="1A0FC151" w14:textId="77777777" w:rsidTr="001126BD">
        <w:tc>
          <w:tcPr>
            <w:tcW w:w="6295" w:type="dxa"/>
            <w:vAlign w:val="center"/>
          </w:tcPr>
          <w:p w14:paraId="539D3F63" w14:textId="5675973A"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Program &amp; Performance QM | VRTAC-QM</w:t>
            </w:r>
          </w:p>
        </w:tc>
        <w:tc>
          <w:tcPr>
            <w:tcW w:w="1417" w:type="dxa"/>
            <w:vAlign w:val="center"/>
          </w:tcPr>
          <w:p w14:paraId="5295A6E2" w14:textId="01EE3A91"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674 </w:t>
            </w:r>
          </w:p>
        </w:tc>
        <w:tc>
          <w:tcPr>
            <w:tcW w:w="1525" w:type="dxa"/>
            <w:vAlign w:val="center"/>
          </w:tcPr>
          <w:p w14:paraId="523017D9" w14:textId="40278E6D"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2%</w:t>
            </w:r>
          </w:p>
        </w:tc>
      </w:tr>
      <w:tr w:rsidR="000921E8" w:rsidRPr="002D4DAD" w14:paraId="0A74E7C3" w14:textId="77777777" w:rsidTr="001126BD">
        <w:tc>
          <w:tcPr>
            <w:tcW w:w="6295" w:type="dxa"/>
            <w:vAlign w:val="center"/>
          </w:tcPr>
          <w:p w14:paraId="6977FFF6" w14:textId="4D8517A5"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What's New | VRTAC-QM</w:t>
            </w:r>
          </w:p>
        </w:tc>
        <w:tc>
          <w:tcPr>
            <w:tcW w:w="1417" w:type="dxa"/>
            <w:vAlign w:val="center"/>
          </w:tcPr>
          <w:p w14:paraId="3BA381C5" w14:textId="5539D386"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621 </w:t>
            </w:r>
          </w:p>
        </w:tc>
        <w:tc>
          <w:tcPr>
            <w:tcW w:w="1525" w:type="dxa"/>
            <w:vAlign w:val="center"/>
          </w:tcPr>
          <w:p w14:paraId="0AB630A5" w14:textId="63A12994"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2%</w:t>
            </w:r>
          </w:p>
        </w:tc>
      </w:tr>
      <w:tr w:rsidR="000921E8" w:rsidRPr="002D4DAD" w14:paraId="2C6738FA" w14:textId="77777777" w:rsidTr="001126BD">
        <w:tc>
          <w:tcPr>
            <w:tcW w:w="6295" w:type="dxa"/>
            <w:vAlign w:val="center"/>
          </w:tcPr>
          <w:p w14:paraId="41EBD1B2" w14:textId="78D7C3E5" w:rsidR="000921E8" w:rsidRPr="002D4DAD" w:rsidRDefault="000921E8" w:rsidP="000921E8">
            <w:pPr>
              <w:pStyle w:val="ListParagraph"/>
              <w:numPr>
                <w:ilvl w:val="0"/>
                <w:numId w:val="11"/>
              </w:numPr>
              <w:spacing w:before="0" w:after="0"/>
              <w:contextualSpacing w:val="0"/>
              <w:rPr>
                <w:rFonts w:ascii="Times New Roman" w:hAnsi="Times New Roman" w:cs="Times New Roman"/>
                <w:sz w:val="24"/>
                <w:szCs w:val="24"/>
              </w:rPr>
            </w:pPr>
            <w:r w:rsidRPr="003434B9">
              <w:rPr>
                <w:rFonts w:ascii="Times New Roman" w:eastAsia="Times New Roman" w:hAnsi="Times New Roman" w:cs="Times New Roman"/>
                <w:color w:val="000000"/>
                <w:sz w:val="24"/>
                <w:szCs w:val="24"/>
              </w:rPr>
              <w:t>Mailing L</w:t>
            </w:r>
            <w:r>
              <w:rPr>
                <w:rFonts w:ascii="Times New Roman" w:eastAsia="Times New Roman" w:hAnsi="Times New Roman" w:cs="Times New Roman"/>
                <w:color w:val="000000"/>
                <w:sz w:val="24"/>
                <w:szCs w:val="24"/>
              </w:rPr>
              <w:t>i</w:t>
            </w:r>
            <w:r w:rsidRPr="003434B9">
              <w:rPr>
                <w:rFonts w:ascii="Times New Roman" w:eastAsia="Times New Roman" w:hAnsi="Times New Roman" w:cs="Times New Roman"/>
                <w:color w:val="000000"/>
                <w:sz w:val="24"/>
                <w:szCs w:val="24"/>
              </w:rPr>
              <w:t>st | VRTAC-QM</w:t>
            </w:r>
          </w:p>
        </w:tc>
        <w:tc>
          <w:tcPr>
            <w:tcW w:w="1417" w:type="dxa"/>
            <w:vAlign w:val="center"/>
          </w:tcPr>
          <w:p w14:paraId="0ED879CD" w14:textId="2ACB5B33"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 xml:space="preserve">                 617 </w:t>
            </w:r>
          </w:p>
        </w:tc>
        <w:tc>
          <w:tcPr>
            <w:tcW w:w="1525" w:type="dxa"/>
            <w:vAlign w:val="center"/>
          </w:tcPr>
          <w:p w14:paraId="21C562AD" w14:textId="1D39BF66" w:rsidR="000921E8" w:rsidRPr="002D4DAD" w:rsidRDefault="000921E8" w:rsidP="000921E8">
            <w:pPr>
              <w:spacing w:before="0" w:after="0"/>
              <w:jc w:val="right"/>
              <w:rPr>
                <w:rFonts w:ascii="Times New Roman" w:eastAsiaTheme="majorEastAsia" w:hAnsi="Times New Roman" w:cs="Times New Roman"/>
                <w:color w:val="000000"/>
                <w:sz w:val="24"/>
                <w:szCs w:val="24"/>
              </w:rPr>
            </w:pPr>
            <w:r w:rsidRPr="003434B9">
              <w:rPr>
                <w:rFonts w:ascii="Times New Roman" w:eastAsia="Times New Roman" w:hAnsi="Times New Roman" w:cs="Times New Roman"/>
                <w:color w:val="000000"/>
                <w:sz w:val="24"/>
                <w:szCs w:val="24"/>
              </w:rPr>
              <w:t>2%</w:t>
            </w:r>
          </w:p>
        </w:tc>
      </w:tr>
    </w:tbl>
    <w:p w14:paraId="211327CE" w14:textId="1D731C67" w:rsidR="0099073A" w:rsidRDefault="0099073A">
      <w:pPr>
        <w:spacing w:before="0" w:after="160"/>
        <w:rPr>
          <w:b/>
        </w:rPr>
      </w:pPr>
      <w:bookmarkStart w:id="18" w:name="_Toc448087440"/>
    </w:p>
    <w:p w14:paraId="64155230" w14:textId="77777777" w:rsidR="0099073A" w:rsidRDefault="0099073A">
      <w:pPr>
        <w:spacing w:before="0" w:after="160"/>
        <w:rPr>
          <w:b/>
        </w:rPr>
      </w:pPr>
      <w:r>
        <w:rPr>
          <w:b/>
        </w:rPr>
        <w:br w:type="page"/>
      </w:r>
    </w:p>
    <w:p w14:paraId="0F019628" w14:textId="22548F88" w:rsidR="007C279B" w:rsidRPr="002D4DAD" w:rsidRDefault="007C279B" w:rsidP="0099073A">
      <w:pPr>
        <w:shd w:val="clear" w:color="auto" w:fill="E2EFD9" w:themeFill="accent6" w:themeFillTint="33"/>
        <w:spacing w:before="240"/>
        <w:rPr>
          <w:b/>
        </w:rPr>
      </w:pPr>
      <w:r w:rsidRPr="002D4DAD">
        <w:rPr>
          <w:b/>
        </w:rPr>
        <w:lastRenderedPageBreak/>
        <w:t>Traffic Overview by States – 10 States with Higher Traffic</w:t>
      </w:r>
      <w:bookmarkEnd w:id="18"/>
    </w:p>
    <w:tbl>
      <w:tblPr>
        <w:tblW w:w="9494"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14"/>
        <w:gridCol w:w="1034"/>
        <w:gridCol w:w="1316"/>
        <w:gridCol w:w="1504"/>
        <w:gridCol w:w="1504"/>
        <w:gridCol w:w="1222"/>
      </w:tblGrid>
      <w:tr w:rsidR="0099073A" w:rsidRPr="003434B9" w14:paraId="06C5859B" w14:textId="77777777" w:rsidTr="00EB5137">
        <w:trPr>
          <w:trHeight w:val="824"/>
          <w:tblHeader/>
        </w:trPr>
        <w:tc>
          <w:tcPr>
            <w:tcW w:w="2914" w:type="dxa"/>
            <w:shd w:val="clear" w:color="auto" w:fill="DEEAF6" w:themeFill="accent1" w:themeFillTint="33"/>
            <w:vAlign w:val="bottom"/>
            <w:hideMark/>
          </w:tcPr>
          <w:p w14:paraId="78813A00"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Region</w:t>
            </w:r>
          </w:p>
        </w:tc>
        <w:tc>
          <w:tcPr>
            <w:tcW w:w="1034" w:type="dxa"/>
            <w:shd w:val="clear" w:color="auto" w:fill="DEEAF6" w:themeFill="accent1" w:themeFillTint="33"/>
            <w:vAlign w:val="bottom"/>
            <w:hideMark/>
          </w:tcPr>
          <w:p w14:paraId="109B02EC"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Total users</w:t>
            </w:r>
          </w:p>
        </w:tc>
        <w:tc>
          <w:tcPr>
            <w:tcW w:w="1316" w:type="dxa"/>
            <w:shd w:val="clear" w:color="auto" w:fill="DEEAF6" w:themeFill="accent1" w:themeFillTint="33"/>
            <w:vAlign w:val="bottom"/>
            <w:hideMark/>
          </w:tcPr>
          <w:p w14:paraId="25CBC106"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New users</w:t>
            </w:r>
          </w:p>
        </w:tc>
        <w:tc>
          <w:tcPr>
            <w:tcW w:w="1504" w:type="dxa"/>
            <w:shd w:val="clear" w:color="auto" w:fill="DEEAF6" w:themeFill="accent1" w:themeFillTint="33"/>
            <w:vAlign w:val="bottom"/>
            <w:hideMark/>
          </w:tcPr>
          <w:p w14:paraId="14B8B9E1"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Engaged sessions</w:t>
            </w:r>
          </w:p>
        </w:tc>
        <w:tc>
          <w:tcPr>
            <w:tcW w:w="1504" w:type="dxa"/>
            <w:shd w:val="clear" w:color="auto" w:fill="DEEAF6" w:themeFill="accent1" w:themeFillTint="33"/>
            <w:vAlign w:val="bottom"/>
            <w:hideMark/>
          </w:tcPr>
          <w:p w14:paraId="0DBFB725"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Engagement rate</w:t>
            </w:r>
          </w:p>
        </w:tc>
        <w:tc>
          <w:tcPr>
            <w:tcW w:w="1222" w:type="dxa"/>
            <w:shd w:val="clear" w:color="auto" w:fill="DEEAF6" w:themeFill="accent1" w:themeFillTint="33"/>
            <w:vAlign w:val="bottom"/>
            <w:hideMark/>
          </w:tcPr>
          <w:p w14:paraId="0EE1C815" w14:textId="77777777" w:rsidR="0099073A" w:rsidRPr="003434B9" w:rsidRDefault="0099073A" w:rsidP="00EB5137">
            <w:pPr>
              <w:spacing w:before="60" w:after="60" w:line="276" w:lineRule="auto"/>
              <w:jc w:val="center"/>
              <w:rPr>
                <w:rFonts w:eastAsia="Times New Roman"/>
                <w:b/>
                <w:bCs/>
                <w:lang w:eastAsia="ko-KR"/>
              </w:rPr>
            </w:pPr>
            <w:r w:rsidRPr="003434B9">
              <w:rPr>
                <w:rFonts w:eastAsia="Times New Roman"/>
                <w:b/>
                <w:bCs/>
                <w:lang w:eastAsia="ko-KR"/>
              </w:rPr>
              <w:t>Event count</w:t>
            </w:r>
          </w:p>
        </w:tc>
      </w:tr>
      <w:tr w:rsidR="0099073A" w:rsidRPr="003434B9" w14:paraId="5327A102" w14:textId="77777777" w:rsidTr="00EB5137">
        <w:trPr>
          <w:trHeight w:val="324"/>
        </w:trPr>
        <w:tc>
          <w:tcPr>
            <w:tcW w:w="2914" w:type="dxa"/>
            <w:shd w:val="clear" w:color="auto" w:fill="auto"/>
            <w:noWrap/>
            <w:vAlign w:val="center"/>
            <w:hideMark/>
          </w:tcPr>
          <w:p w14:paraId="62A332B8"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lang w:eastAsia="ko-KR"/>
              </w:rPr>
            </w:pPr>
            <w:r w:rsidRPr="003434B9">
              <w:rPr>
                <w:rFonts w:eastAsia="Times New Roman"/>
              </w:rPr>
              <w:t>Virginia</w:t>
            </w:r>
          </w:p>
        </w:tc>
        <w:tc>
          <w:tcPr>
            <w:tcW w:w="1034" w:type="dxa"/>
            <w:shd w:val="clear" w:color="auto" w:fill="auto"/>
            <w:noWrap/>
            <w:vAlign w:val="center"/>
            <w:hideMark/>
          </w:tcPr>
          <w:p w14:paraId="29DDAB84"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521 </w:t>
            </w:r>
          </w:p>
        </w:tc>
        <w:tc>
          <w:tcPr>
            <w:tcW w:w="1316" w:type="dxa"/>
            <w:shd w:val="clear" w:color="auto" w:fill="auto"/>
            <w:noWrap/>
            <w:vAlign w:val="center"/>
            <w:hideMark/>
          </w:tcPr>
          <w:p w14:paraId="3809A54B"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508 </w:t>
            </w:r>
          </w:p>
        </w:tc>
        <w:tc>
          <w:tcPr>
            <w:tcW w:w="1504" w:type="dxa"/>
            <w:shd w:val="clear" w:color="auto" w:fill="auto"/>
            <w:noWrap/>
            <w:vAlign w:val="center"/>
            <w:hideMark/>
          </w:tcPr>
          <w:p w14:paraId="65170CE1"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656 </w:t>
            </w:r>
          </w:p>
        </w:tc>
        <w:tc>
          <w:tcPr>
            <w:tcW w:w="1504" w:type="dxa"/>
            <w:shd w:val="clear" w:color="auto" w:fill="auto"/>
            <w:noWrap/>
            <w:vAlign w:val="center"/>
            <w:hideMark/>
          </w:tcPr>
          <w:p w14:paraId="4055FD6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65%</w:t>
            </w:r>
          </w:p>
        </w:tc>
        <w:tc>
          <w:tcPr>
            <w:tcW w:w="1222" w:type="dxa"/>
            <w:shd w:val="clear" w:color="auto" w:fill="auto"/>
            <w:noWrap/>
            <w:vAlign w:val="center"/>
            <w:hideMark/>
          </w:tcPr>
          <w:p w14:paraId="3DE69D2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7,074 </w:t>
            </w:r>
          </w:p>
        </w:tc>
      </w:tr>
      <w:tr w:rsidR="0099073A" w:rsidRPr="003434B9" w14:paraId="03A8BE42" w14:textId="77777777" w:rsidTr="00EB5137">
        <w:trPr>
          <w:trHeight w:val="324"/>
        </w:trPr>
        <w:tc>
          <w:tcPr>
            <w:tcW w:w="2914" w:type="dxa"/>
            <w:shd w:val="clear" w:color="auto" w:fill="auto"/>
            <w:noWrap/>
            <w:vAlign w:val="center"/>
            <w:hideMark/>
          </w:tcPr>
          <w:p w14:paraId="32589A47"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California</w:t>
            </w:r>
          </w:p>
        </w:tc>
        <w:tc>
          <w:tcPr>
            <w:tcW w:w="1034" w:type="dxa"/>
            <w:shd w:val="clear" w:color="auto" w:fill="auto"/>
            <w:noWrap/>
            <w:vAlign w:val="center"/>
            <w:hideMark/>
          </w:tcPr>
          <w:p w14:paraId="0C23536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306 </w:t>
            </w:r>
          </w:p>
        </w:tc>
        <w:tc>
          <w:tcPr>
            <w:tcW w:w="1316" w:type="dxa"/>
            <w:shd w:val="clear" w:color="auto" w:fill="auto"/>
            <w:noWrap/>
            <w:vAlign w:val="center"/>
            <w:hideMark/>
          </w:tcPr>
          <w:p w14:paraId="4242BC48"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294 </w:t>
            </w:r>
          </w:p>
        </w:tc>
        <w:tc>
          <w:tcPr>
            <w:tcW w:w="1504" w:type="dxa"/>
            <w:shd w:val="clear" w:color="auto" w:fill="auto"/>
            <w:noWrap/>
            <w:vAlign w:val="center"/>
            <w:hideMark/>
          </w:tcPr>
          <w:p w14:paraId="153DDC4B"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577 </w:t>
            </w:r>
          </w:p>
        </w:tc>
        <w:tc>
          <w:tcPr>
            <w:tcW w:w="1504" w:type="dxa"/>
            <w:shd w:val="clear" w:color="auto" w:fill="auto"/>
            <w:noWrap/>
            <w:vAlign w:val="center"/>
            <w:hideMark/>
          </w:tcPr>
          <w:p w14:paraId="0138DD5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81%</w:t>
            </w:r>
          </w:p>
        </w:tc>
        <w:tc>
          <w:tcPr>
            <w:tcW w:w="1222" w:type="dxa"/>
            <w:shd w:val="clear" w:color="auto" w:fill="auto"/>
            <w:noWrap/>
            <w:vAlign w:val="center"/>
            <w:hideMark/>
          </w:tcPr>
          <w:p w14:paraId="7D8F75D7"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18,419 </w:t>
            </w:r>
          </w:p>
        </w:tc>
      </w:tr>
      <w:tr w:rsidR="0099073A" w:rsidRPr="003434B9" w14:paraId="31C459ED" w14:textId="77777777" w:rsidTr="00EB5137">
        <w:trPr>
          <w:trHeight w:val="324"/>
        </w:trPr>
        <w:tc>
          <w:tcPr>
            <w:tcW w:w="2914" w:type="dxa"/>
            <w:shd w:val="clear" w:color="auto" w:fill="auto"/>
            <w:noWrap/>
            <w:vAlign w:val="center"/>
            <w:hideMark/>
          </w:tcPr>
          <w:p w14:paraId="7B97A072"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Minnesota</w:t>
            </w:r>
          </w:p>
        </w:tc>
        <w:tc>
          <w:tcPr>
            <w:tcW w:w="1034" w:type="dxa"/>
            <w:shd w:val="clear" w:color="auto" w:fill="auto"/>
            <w:noWrap/>
            <w:vAlign w:val="center"/>
            <w:hideMark/>
          </w:tcPr>
          <w:p w14:paraId="02F337A5"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92 </w:t>
            </w:r>
          </w:p>
        </w:tc>
        <w:tc>
          <w:tcPr>
            <w:tcW w:w="1316" w:type="dxa"/>
            <w:shd w:val="clear" w:color="auto" w:fill="auto"/>
            <w:noWrap/>
            <w:vAlign w:val="center"/>
            <w:hideMark/>
          </w:tcPr>
          <w:p w14:paraId="47AA5CBA"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90 </w:t>
            </w:r>
          </w:p>
        </w:tc>
        <w:tc>
          <w:tcPr>
            <w:tcW w:w="1504" w:type="dxa"/>
            <w:shd w:val="clear" w:color="auto" w:fill="auto"/>
            <w:noWrap/>
            <w:vAlign w:val="center"/>
            <w:hideMark/>
          </w:tcPr>
          <w:p w14:paraId="6DB436B8"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346 </w:t>
            </w:r>
          </w:p>
        </w:tc>
        <w:tc>
          <w:tcPr>
            <w:tcW w:w="1504" w:type="dxa"/>
            <w:shd w:val="clear" w:color="auto" w:fill="auto"/>
            <w:noWrap/>
            <w:vAlign w:val="center"/>
            <w:hideMark/>
          </w:tcPr>
          <w:p w14:paraId="35A417F2"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78%</w:t>
            </w:r>
          </w:p>
        </w:tc>
        <w:tc>
          <w:tcPr>
            <w:tcW w:w="1222" w:type="dxa"/>
            <w:shd w:val="clear" w:color="auto" w:fill="auto"/>
            <w:noWrap/>
            <w:vAlign w:val="center"/>
            <w:hideMark/>
          </w:tcPr>
          <w:p w14:paraId="7337765A"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4,907 </w:t>
            </w:r>
          </w:p>
        </w:tc>
      </w:tr>
      <w:tr w:rsidR="0099073A" w:rsidRPr="003434B9" w14:paraId="76765494" w14:textId="77777777" w:rsidTr="00EB5137">
        <w:trPr>
          <w:trHeight w:val="324"/>
        </w:trPr>
        <w:tc>
          <w:tcPr>
            <w:tcW w:w="2914" w:type="dxa"/>
            <w:shd w:val="clear" w:color="auto" w:fill="auto"/>
            <w:noWrap/>
            <w:vAlign w:val="center"/>
            <w:hideMark/>
          </w:tcPr>
          <w:p w14:paraId="54BA9D0F"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South Carolina</w:t>
            </w:r>
          </w:p>
        </w:tc>
        <w:tc>
          <w:tcPr>
            <w:tcW w:w="1034" w:type="dxa"/>
            <w:shd w:val="clear" w:color="auto" w:fill="auto"/>
            <w:noWrap/>
            <w:vAlign w:val="center"/>
            <w:hideMark/>
          </w:tcPr>
          <w:p w14:paraId="162818A0"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56 </w:t>
            </w:r>
          </w:p>
        </w:tc>
        <w:tc>
          <w:tcPr>
            <w:tcW w:w="1316" w:type="dxa"/>
            <w:shd w:val="clear" w:color="auto" w:fill="auto"/>
            <w:noWrap/>
            <w:vAlign w:val="center"/>
            <w:hideMark/>
          </w:tcPr>
          <w:p w14:paraId="1B45733E"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56 </w:t>
            </w:r>
          </w:p>
        </w:tc>
        <w:tc>
          <w:tcPr>
            <w:tcW w:w="1504" w:type="dxa"/>
            <w:shd w:val="clear" w:color="auto" w:fill="auto"/>
            <w:noWrap/>
            <w:vAlign w:val="center"/>
            <w:hideMark/>
          </w:tcPr>
          <w:p w14:paraId="5262BF14"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274 </w:t>
            </w:r>
          </w:p>
        </w:tc>
        <w:tc>
          <w:tcPr>
            <w:tcW w:w="1504" w:type="dxa"/>
            <w:shd w:val="clear" w:color="auto" w:fill="auto"/>
            <w:noWrap/>
            <w:vAlign w:val="center"/>
            <w:hideMark/>
          </w:tcPr>
          <w:p w14:paraId="31494CE4"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80%</w:t>
            </w:r>
          </w:p>
        </w:tc>
        <w:tc>
          <w:tcPr>
            <w:tcW w:w="1222" w:type="dxa"/>
            <w:shd w:val="clear" w:color="auto" w:fill="auto"/>
            <w:noWrap/>
            <w:vAlign w:val="center"/>
            <w:hideMark/>
          </w:tcPr>
          <w:p w14:paraId="64178C82"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2,033 </w:t>
            </w:r>
          </w:p>
        </w:tc>
      </w:tr>
      <w:tr w:rsidR="0099073A" w:rsidRPr="003434B9" w14:paraId="474CA05A" w14:textId="77777777" w:rsidTr="00EB5137">
        <w:trPr>
          <w:trHeight w:val="324"/>
        </w:trPr>
        <w:tc>
          <w:tcPr>
            <w:tcW w:w="2914" w:type="dxa"/>
            <w:shd w:val="clear" w:color="auto" w:fill="auto"/>
            <w:noWrap/>
            <w:vAlign w:val="center"/>
            <w:hideMark/>
          </w:tcPr>
          <w:p w14:paraId="3497AD8C"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Georgia</w:t>
            </w:r>
          </w:p>
        </w:tc>
        <w:tc>
          <w:tcPr>
            <w:tcW w:w="1034" w:type="dxa"/>
            <w:shd w:val="clear" w:color="auto" w:fill="auto"/>
            <w:noWrap/>
            <w:vAlign w:val="center"/>
            <w:hideMark/>
          </w:tcPr>
          <w:p w14:paraId="39E9B06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49 </w:t>
            </w:r>
          </w:p>
        </w:tc>
        <w:tc>
          <w:tcPr>
            <w:tcW w:w="1316" w:type="dxa"/>
            <w:shd w:val="clear" w:color="auto" w:fill="auto"/>
            <w:noWrap/>
            <w:vAlign w:val="center"/>
            <w:hideMark/>
          </w:tcPr>
          <w:p w14:paraId="5520F90B"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49 </w:t>
            </w:r>
          </w:p>
        </w:tc>
        <w:tc>
          <w:tcPr>
            <w:tcW w:w="1504" w:type="dxa"/>
            <w:shd w:val="clear" w:color="auto" w:fill="auto"/>
            <w:noWrap/>
            <w:vAlign w:val="center"/>
            <w:hideMark/>
          </w:tcPr>
          <w:p w14:paraId="6CFEF97A"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247 </w:t>
            </w:r>
          </w:p>
        </w:tc>
        <w:tc>
          <w:tcPr>
            <w:tcW w:w="1504" w:type="dxa"/>
            <w:shd w:val="clear" w:color="auto" w:fill="auto"/>
            <w:noWrap/>
            <w:vAlign w:val="center"/>
            <w:hideMark/>
          </w:tcPr>
          <w:p w14:paraId="0CB5BF6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76%</w:t>
            </w:r>
          </w:p>
        </w:tc>
        <w:tc>
          <w:tcPr>
            <w:tcW w:w="1222" w:type="dxa"/>
            <w:shd w:val="clear" w:color="auto" w:fill="auto"/>
            <w:noWrap/>
            <w:vAlign w:val="center"/>
            <w:hideMark/>
          </w:tcPr>
          <w:p w14:paraId="337C6C1F"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5,946 </w:t>
            </w:r>
          </w:p>
        </w:tc>
      </w:tr>
      <w:tr w:rsidR="0099073A" w:rsidRPr="003434B9" w14:paraId="6E8EDF49" w14:textId="77777777" w:rsidTr="00EB5137">
        <w:trPr>
          <w:trHeight w:val="324"/>
        </w:trPr>
        <w:tc>
          <w:tcPr>
            <w:tcW w:w="2914" w:type="dxa"/>
            <w:shd w:val="clear" w:color="auto" w:fill="auto"/>
            <w:noWrap/>
            <w:vAlign w:val="center"/>
            <w:hideMark/>
          </w:tcPr>
          <w:p w14:paraId="61B07449"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New York</w:t>
            </w:r>
          </w:p>
        </w:tc>
        <w:tc>
          <w:tcPr>
            <w:tcW w:w="1034" w:type="dxa"/>
            <w:shd w:val="clear" w:color="auto" w:fill="auto"/>
            <w:noWrap/>
            <w:vAlign w:val="center"/>
            <w:hideMark/>
          </w:tcPr>
          <w:p w14:paraId="4969FB52"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213 </w:t>
            </w:r>
          </w:p>
        </w:tc>
        <w:tc>
          <w:tcPr>
            <w:tcW w:w="1316" w:type="dxa"/>
            <w:shd w:val="clear" w:color="auto" w:fill="auto"/>
            <w:noWrap/>
            <w:vAlign w:val="center"/>
            <w:hideMark/>
          </w:tcPr>
          <w:p w14:paraId="01DB5AB9"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208 </w:t>
            </w:r>
          </w:p>
        </w:tc>
        <w:tc>
          <w:tcPr>
            <w:tcW w:w="1504" w:type="dxa"/>
            <w:shd w:val="clear" w:color="auto" w:fill="auto"/>
            <w:noWrap/>
            <w:vAlign w:val="center"/>
            <w:hideMark/>
          </w:tcPr>
          <w:p w14:paraId="57342E31"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241 </w:t>
            </w:r>
          </w:p>
        </w:tc>
        <w:tc>
          <w:tcPr>
            <w:tcW w:w="1504" w:type="dxa"/>
            <w:shd w:val="clear" w:color="auto" w:fill="auto"/>
            <w:noWrap/>
            <w:vAlign w:val="center"/>
            <w:hideMark/>
          </w:tcPr>
          <w:p w14:paraId="07DCF67B"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81%</w:t>
            </w:r>
          </w:p>
        </w:tc>
        <w:tc>
          <w:tcPr>
            <w:tcW w:w="1222" w:type="dxa"/>
            <w:shd w:val="clear" w:color="auto" w:fill="auto"/>
            <w:noWrap/>
            <w:vAlign w:val="center"/>
            <w:hideMark/>
          </w:tcPr>
          <w:p w14:paraId="42E88DA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2,631 </w:t>
            </w:r>
          </w:p>
        </w:tc>
      </w:tr>
      <w:tr w:rsidR="0099073A" w:rsidRPr="003434B9" w14:paraId="23FFA419" w14:textId="77777777" w:rsidTr="00EB5137">
        <w:trPr>
          <w:trHeight w:val="324"/>
        </w:trPr>
        <w:tc>
          <w:tcPr>
            <w:tcW w:w="2914" w:type="dxa"/>
            <w:shd w:val="clear" w:color="auto" w:fill="auto"/>
            <w:noWrap/>
            <w:vAlign w:val="center"/>
            <w:hideMark/>
          </w:tcPr>
          <w:p w14:paraId="7A18E662"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District of Columbia</w:t>
            </w:r>
          </w:p>
        </w:tc>
        <w:tc>
          <w:tcPr>
            <w:tcW w:w="1034" w:type="dxa"/>
            <w:shd w:val="clear" w:color="auto" w:fill="auto"/>
            <w:noWrap/>
            <w:vAlign w:val="center"/>
            <w:hideMark/>
          </w:tcPr>
          <w:p w14:paraId="284B28FA"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92 </w:t>
            </w:r>
          </w:p>
        </w:tc>
        <w:tc>
          <w:tcPr>
            <w:tcW w:w="1316" w:type="dxa"/>
            <w:shd w:val="clear" w:color="auto" w:fill="auto"/>
            <w:noWrap/>
            <w:vAlign w:val="center"/>
            <w:hideMark/>
          </w:tcPr>
          <w:p w14:paraId="666FBD89"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84 </w:t>
            </w:r>
          </w:p>
        </w:tc>
        <w:tc>
          <w:tcPr>
            <w:tcW w:w="1504" w:type="dxa"/>
            <w:shd w:val="clear" w:color="auto" w:fill="auto"/>
            <w:noWrap/>
            <w:vAlign w:val="center"/>
            <w:hideMark/>
          </w:tcPr>
          <w:p w14:paraId="67C70BE1"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208 </w:t>
            </w:r>
          </w:p>
        </w:tc>
        <w:tc>
          <w:tcPr>
            <w:tcW w:w="1504" w:type="dxa"/>
            <w:shd w:val="clear" w:color="auto" w:fill="auto"/>
            <w:noWrap/>
            <w:vAlign w:val="center"/>
            <w:hideMark/>
          </w:tcPr>
          <w:p w14:paraId="5A1FB225"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86%</w:t>
            </w:r>
          </w:p>
        </w:tc>
        <w:tc>
          <w:tcPr>
            <w:tcW w:w="1222" w:type="dxa"/>
            <w:shd w:val="clear" w:color="auto" w:fill="auto"/>
            <w:noWrap/>
            <w:vAlign w:val="center"/>
            <w:hideMark/>
          </w:tcPr>
          <w:p w14:paraId="0D021581"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2,606 </w:t>
            </w:r>
          </w:p>
        </w:tc>
      </w:tr>
      <w:tr w:rsidR="0099073A" w:rsidRPr="003434B9" w14:paraId="4761A1ED" w14:textId="77777777" w:rsidTr="00EB5137">
        <w:trPr>
          <w:trHeight w:val="324"/>
        </w:trPr>
        <w:tc>
          <w:tcPr>
            <w:tcW w:w="2914" w:type="dxa"/>
            <w:shd w:val="clear" w:color="auto" w:fill="auto"/>
            <w:noWrap/>
            <w:vAlign w:val="center"/>
            <w:hideMark/>
          </w:tcPr>
          <w:p w14:paraId="21470955"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North Carolina</w:t>
            </w:r>
          </w:p>
        </w:tc>
        <w:tc>
          <w:tcPr>
            <w:tcW w:w="1034" w:type="dxa"/>
            <w:shd w:val="clear" w:color="auto" w:fill="auto"/>
            <w:noWrap/>
            <w:vAlign w:val="center"/>
            <w:hideMark/>
          </w:tcPr>
          <w:p w14:paraId="3D3DC8D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43 </w:t>
            </w:r>
          </w:p>
        </w:tc>
        <w:tc>
          <w:tcPr>
            <w:tcW w:w="1316" w:type="dxa"/>
            <w:shd w:val="clear" w:color="auto" w:fill="auto"/>
            <w:noWrap/>
            <w:vAlign w:val="center"/>
            <w:hideMark/>
          </w:tcPr>
          <w:p w14:paraId="064E941C"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41 </w:t>
            </w:r>
          </w:p>
        </w:tc>
        <w:tc>
          <w:tcPr>
            <w:tcW w:w="1504" w:type="dxa"/>
            <w:shd w:val="clear" w:color="auto" w:fill="auto"/>
            <w:noWrap/>
            <w:vAlign w:val="center"/>
            <w:hideMark/>
          </w:tcPr>
          <w:p w14:paraId="0F94ABE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171 </w:t>
            </w:r>
          </w:p>
        </w:tc>
        <w:tc>
          <w:tcPr>
            <w:tcW w:w="1504" w:type="dxa"/>
            <w:shd w:val="clear" w:color="auto" w:fill="auto"/>
            <w:noWrap/>
            <w:vAlign w:val="center"/>
            <w:hideMark/>
          </w:tcPr>
          <w:p w14:paraId="55935319"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77%</w:t>
            </w:r>
          </w:p>
        </w:tc>
        <w:tc>
          <w:tcPr>
            <w:tcW w:w="1222" w:type="dxa"/>
            <w:shd w:val="clear" w:color="auto" w:fill="auto"/>
            <w:noWrap/>
            <w:vAlign w:val="center"/>
            <w:hideMark/>
          </w:tcPr>
          <w:p w14:paraId="0FE7B6EF"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4,415 </w:t>
            </w:r>
          </w:p>
        </w:tc>
      </w:tr>
      <w:tr w:rsidR="0099073A" w:rsidRPr="003434B9" w14:paraId="5A39E01B" w14:textId="77777777" w:rsidTr="00EB5137">
        <w:trPr>
          <w:trHeight w:val="324"/>
        </w:trPr>
        <w:tc>
          <w:tcPr>
            <w:tcW w:w="2914" w:type="dxa"/>
            <w:shd w:val="clear" w:color="auto" w:fill="auto"/>
            <w:noWrap/>
            <w:vAlign w:val="center"/>
            <w:hideMark/>
          </w:tcPr>
          <w:p w14:paraId="078DD64B"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Washington</w:t>
            </w:r>
          </w:p>
        </w:tc>
        <w:tc>
          <w:tcPr>
            <w:tcW w:w="1034" w:type="dxa"/>
            <w:shd w:val="clear" w:color="auto" w:fill="auto"/>
            <w:noWrap/>
            <w:vAlign w:val="center"/>
            <w:hideMark/>
          </w:tcPr>
          <w:p w14:paraId="6762C2E0"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119 </w:t>
            </w:r>
          </w:p>
        </w:tc>
        <w:tc>
          <w:tcPr>
            <w:tcW w:w="1316" w:type="dxa"/>
            <w:shd w:val="clear" w:color="auto" w:fill="auto"/>
            <w:noWrap/>
            <w:vAlign w:val="center"/>
            <w:hideMark/>
          </w:tcPr>
          <w:p w14:paraId="52DAFE17"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118 </w:t>
            </w:r>
          </w:p>
        </w:tc>
        <w:tc>
          <w:tcPr>
            <w:tcW w:w="1504" w:type="dxa"/>
            <w:shd w:val="clear" w:color="auto" w:fill="auto"/>
            <w:noWrap/>
            <w:vAlign w:val="center"/>
            <w:hideMark/>
          </w:tcPr>
          <w:p w14:paraId="365295B8"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165 </w:t>
            </w:r>
          </w:p>
        </w:tc>
        <w:tc>
          <w:tcPr>
            <w:tcW w:w="1504" w:type="dxa"/>
            <w:shd w:val="clear" w:color="auto" w:fill="auto"/>
            <w:noWrap/>
            <w:vAlign w:val="center"/>
            <w:hideMark/>
          </w:tcPr>
          <w:p w14:paraId="194673C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74%</w:t>
            </w:r>
          </w:p>
        </w:tc>
        <w:tc>
          <w:tcPr>
            <w:tcW w:w="1222" w:type="dxa"/>
            <w:shd w:val="clear" w:color="auto" w:fill="auto"/>
            <w:noWrap/>
            <w:vAlign w:val="center"/>
            <w:hideMark/>
          </w:tcPr>
          <w:p w14:paraId="3ED3B0FE"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1,917 </w:t>
            </w:r>
          </w:p>
        </w:tc>
      </w:tr>
      <w:tr w:rsidR="0099073A" w:rsidRPr="003434B9" w14:paraId="4A04E600" w14:textId="77777777" w:rsidTr="00EB5137">
        <w:trPr>
          <w:trHeight w:val="324"/>
        </w:trPr>
        <w:tc>
          <w:tcPr>
            <w:tcW w:w="2914" w:type="dxa"/>
            <w:shd w:val="clear" w:color="auto" w:fill="auto"/>
            <w:noWrap/>
            <w:vAlign w:val="center"/>
            <w:hideMark/>
          </w:tcPr>
          <w:p w14:paraId="795751DC" w14:textId="77777777" w:rsidR="0099073A" w:rsidRPr="003434B9" w:rsidRDefault="0099073A" w:rsidP="0099073A">
            <w:pPr>
              <w:pStyle w:val="ListParagraph"/>
              <w:numPr>
                <w:ilvl w:val="0"/>
                <w:numId w:val="10"/>
              </w:numPr>
              <w:tabs>
                <w:tab w:val="left" w:pos="342"/>
              </w:tabs>
              <w:spacing w:before="20" w:after="20" w:line="276" w:lineRule="auto"/>
              <w:ind w:left="342"/>
              <w:contextualSpacing w:val="0"/>
              <w:rPr>
                <w:rFonts w:eastAsia="Times New Roman"/>
              </w:rPr>
            </w:pPr>
            <w:r w:rsidRPr="003434B9">
              <w:rPr>
                <w:rFonts w:eastAsia="Times New Roman"/>
              </w:rPr>
              <w:t>Florida</w:t>
            </w:r>
          </w:p>
        </w:tc>
        <w:tc>
          <w:tcPr>
            <w:tcW w:w="1034" w:type="dxa"/>
            <w:shd w:val="clear" w:color="auto" w:fill="auto"/>
            <w:noWrap/>
            <w:vAlign w:val="center"/>
            <w:hideMark/>
          </w:tcPr>
          <w:p w14:paraId="25EC4DE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 152 </w:t>
            </w:r>
          </w:p>
        </w:tc>
        <w:tc>
          <w:tcPr>
            <w:tcW w:w="1316" w:type="dxa"/>
            <w:shd w:val="clear" w:color="auto" w:fill="auto"/>
            <w:noWrap/>
            <w:vAlign w:val="center"/>
            <w:hideMark/>
          </w:tcPr>
          <w:p w14:paraId="75753676"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150 </w:t>
            </w:r>
          </w:p>
        </w:tc>
        <w:tc>
          <w:tcPr>
            <w:tcW w:w="1504" w:type="dxa"/>
            <w:shd w:val="clear" w:color="auto" w:fill="auto"/>
            <w:noWrap/>
            <w:vAlign w:val="center"/>
            <w:hideMark/>
          </w:tcPr>
          <w:p w14:paraId="2CB738C4"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160 </w:t>
            </w:r>
          </w:p>
        </w:tc>
        <w:tc>
          <w:tcPr>
            <w:tcW w:w="1504" w:type="dxa"/>
            <w:shd w:val="clear" w:color="auto" w:fill="auto"/>
            <w:noWrap/>
            <w:vAlign w:val="center"/>
            <w:hideMark/>
          </w:tcPr>
          <w:p w14:paraId="0C09804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67%</w:t>
            </w:r>
          </w:p>
        </w:tc>
        <w:tc>
          <w:tcPr>
            <w:tcW w:w="1222" w:type="dxa"/>
            <w:shd w:val="clear" w:color="auto" w:fill="auto"/>
            <w:noWrap/>
            <w:vAlign w:val="center"/>
            <w:hideMark/>
          </w:tcPr>
          <w:p w14:paraId="638A41A3" w14:textId="77777777" w:rsidR="0099073A" w:rsidRPr="003434B9" w:rsidRDefault="0099073A" w:rsidP="00EB5137">
            <w:pPr>
              <w:spacing w:before="20" w:after="20" w:line="276" w:lineRule="auto"/>
              <w:jc w:val="right"/>
              <w:rPr>
                <w:rFonts w:eastAsia="Times New Roman"/>
                <w:lang w:eastAsia="ko-KR"/>
              </w:rPr>
            </w:pPr>
            <w:r w:rsidRPr="003434B9">
              <w:rPr>
                <w:rFonts w:eastAsia="Times New Roman"/>
              </w:rPr>
              <w:t xml:space="preserve">2,169 </w:t>
            </w:r>
          </w:p>
        </w:tc>
      </w:tr>
    </w:tbl>
    <w:p w14:paraId="21E596CA" w14:textId="0FD757FA" w:rsidR="007C279B" w:rsidRPr="00D47436" w:rsidRDefault="007C279B" w:rsidP="007C279B">
      <w:pPr>
        <w:pStyle w:val="Heading2"/>
        <w:spacing w:before="240"/>
      </w:pPr>
      <w:bookmarkStart w:id="19" w:name="_Toc92084378"/>
      <w:r>
        <w:t xml:space="preserve">Universal TA of Note in the </w:t>
      </w:r>
      <w:r w:rsidR="0099073A">
        <w:t>4</w:t>
      </w:r>
      <w:r w:rsidR="0099073A" w:rsidRPr="0099073A">
        <w:rPr>
          <w:vertAlign w:val="superscript"/>
        </w:rPr>
        <w:t>th</w:t>
      </w:r>
      <w:r w:rsidR="0099073A">
        <w:t xml:space="preserve"> </w:t>
      </w:r>
      <w:r>
        <w:t>Quarter:</w:t>
      </w:r>
      <w:bookmarkEnd w:id="19"/>
    </w:p>
    <w:p w14:paraId="105519B6" w14:textId="77777777" w:rsidR="00B22B52" w:rsidRDefault="00B22B52" w:rsidP="00B22B52">
      <w:pPr>
        <w:pStyle w:val="ListParagraph"/>
        <w:numPr>
          <w:ilvl w:val="0"/>
          <w:numId w:val="12"/>
        </w:numPr>
        <w:contextualSpacing w:val="0"/>
      </w:pPr>
      <w:r w:rsidRPr="00713540">
        <w:rPr>
          <w:b/>
          <w:bCs/>
        </w:rPr>
        <w:t>Social media stats for the month of July</w:t>
      </w:r>
      <w:r>
        <w:t>.</w:t>
      </w:r>
      <w:r>
        <w:br/>
      </w:r>
      <w:r w:rsidRPr="00F61B47">
        <w:rPr>
          <w:b/>
          <w:bCs/>
        </w:rPr>
        <w:t>Twitter</w:t>
      </w:r>
      <w:r>
        <w:t>: 19 tweets, 1,515 profile visits, 25 new followers, 5 mentions, and 6,225 tweet impressions. We are currently following 494 people and have 72 followers</w:t>
      </w:r>
      <w:r>
        <w:br/>
      </w:r>
      <w:r w:rsidRPr="00F61B47">
        <w:rPr>
          <w:b/>
          <w:bCs/>
        </w:rPr>
        <w:t>Facebook</w:t>
      </w:r>
      <w:r>
        <w:t>: 54 total page views, 36 new likes, 40 new followers, a post reach of 1,526, and post engagement 496. This page has 79 likes and 90 followers.</w:t>
      </w:r>
      <w:r>
        <w:br/>
        <w:t>We highlighted new releases from QM, webinars and information from other partners including OSERS.</w:t>
      </w:r>
    </w:p>
    <w:p w14:paraId="2BC80321" w14:textId="77777777" w:rsidR="00B22B52" w:rsidRDefault="00B22B52" w:rsidP="00B22B52">
      <w:pPr>
        <w:pStyle w:val="ListParagraph"/>
        <w:contextualSpacing w:val="0"/>
      </w:pPr>
      <w:r w:rsidRPr="00713540">
        <w:rPr>
          <w:b/>
          <w:bCs/>
        </w:rPr>
        <w:t>Stats for August:</w:t>
      </w:r>
      <w:r>
        <w:br/>
      </w:r>
      <w:r w:rsidRPr="00F61B47">
        <w:rPr>
          <w:b/>
          <w:bCs/>
        </w:rPr>
        <w:t>Twitter</w:t>
      </w:r>
      <w:r>
        <w:t>:11 tweets, 4,279 impressions, 164 profile visits, 9 mentions, and 8 new followers</w:t>
      </w:r>
      <w:r>
        <w:br/>
      </w:r>
      <w:r w:rsidRPr="00F61B47">
        <w:rPr>
          <w:b/>
          <w:bCs/>
        </w:rPr>
        <w:t>Facebook</w:t>
      </w:r>
      <w:r>
        <w:t xml:space="preserve">: 17 page views, post reach 1573, 9 new likes, 13 new followers, 3 posts, 109 engagements </w:t>
      </w:r>
    </w:p>
    <w:p w14:paraId="332CE2AE" w14:textId="77777777" w:rsidR="00B22B52" w:rsidRDefault="00B22B52" w:rsidP="00B22B52">
      <w:pPr>
        <w:pStyle w:val="ListParagraph"/>
        <w:contextualSpacing w:val="0"/>
      </w:pPr>
      <w:r w:rsidRPr="00713540">
        <w:rPr>
          <w:b/>
          <w:bCs/>
        </w:rPr>
        <w:t>Social Media presence for September</w:t>
      </w:r>
      <w:r>
        <w:rPr>
          <w:b/>
          <w:bCs/>
        </w:rPr>
        <w:t>:</w:t>
      </w:r>
      <w:r>
        <w:t xml:space="preserve"> We highlight Center activities, highlight SVRA posts, </w:t>
      </w:r>
      <w:proofErr w:type="gramStart"/>
      <w:r>
        <w:t>and also</w:t>
      </w:r>
      <w:proofErr w:type="gramEnd"/>
      <w:r>
        <w:t xml:space="preserve"> highlight critical happenings important to VR. For example, National Deaf Awareness month was in September. </w:t>
      </w:r>
      <w:r>
        <w:br/>
      </w:r>
      <w:r w:rsidRPr="00F61B47">
        <w:rPr>
          <w:b/>
          <w:bCs/>
        </w:rPr>
        <w:t>Twitter</w:t>
      </w:r>
      <w:r>
        <w:t xml:space="preserve"> - 15 Tweets; 3,800 Impressions, 11 New Followers (92 total), 2 Mentions, and 708 Profile visits. </w:t>
      </w:r>
      <w:r>
        <w:br/>
      </w:r>
      <w:r w:rsidRPr="00F61B47">
        <w:rPr>
          <w:b/>
          <w:bCs/>
        </w:rPr>
        <w:t>Facebook</w:t>
      </w:r>
      <w:r>
        <w:t xml:space="preserve"> - 4 posts; 2,360 </w:t>
      </w:r>
      <w:proofErr w:type="gramStart"/>
      <w:r>
        <w:t>reach</w:t>
      </w:r>
      <w:proofErr w:type="gramEnd"/>
      <w:r>
        <w:t>; 147 post engagements; 8 new followers (111 total); 6 new likes (94 total).</w:t>
      </w:r>
    </w:p>
    <w:p w14:paraId="5C00F0F2" w14:textId="77777777" w:rsidR="00B22B52" w:rsidRDefault="00B22B52" w:rsidP="00B22B52">
      <w:pPr>
        <w:pStyle w:val="ListParagraph"/>
        <w:numPr>
          <w:ilvl w:val="0"/>
          <w:numId w:val="12"/>
        </w:numPr>
        <w:spacing w:before="0" w:after="160"/>
      </w:pPr>
      <w:r>
        <w:t>Carol Pankow led the development and broadcast of several podcasts this year called the Manager Minute. We broadcast five of these in Year One. We have had a total of 512 downloads over 5 podcasts.</w:t>
      </w:r>
    </w:p>
    <w:p w14:paraId="4B2F50B8" w14:textId="2B28558C" w:rsidR="007C279B" w:rsidRDefault="00B22B52" w:rsidP="00B22B52">
      <w:pPr>
        <w:pStyle w:val="ListParagraph"/>
        <w:numPr>
          <w:ilvl w:val="0"/>
          <w:numId w:val="12"/>
        </w:numPr>
        <w:spacing w:line="276" w:lineRule="auto"/>
        <w:contextualSpacing w:val="0"/>
      </w:pPr>
      <w:r>
        <w:t>Through a collaborative effort, a two-part webinar was produced on Pre-Employment Transition Services Strategic Planning: A Collaborative Approach.</w:t>
      </w:r>
    </w:p>
    <w:p w14:paraId="088A6B08" w14:textId="671B8F87" w:rsidR="00627BED" w:rsidRDefault="00627BED" w:rsidP="00627BED">
      <w:pPr>
        <w:pStyle w:val="Heading2"/>
      </w:pPr>
      <w:bookmarkStart w:id="20" w:name="_Toc92084379"/>
      <w:r>
        <w:t>Webinars:</w:t>
      </w:r>
      <w:bookmarkEnd w:id="20"/>
    </w:p>
    <w:p w14:paraId="3B913FE9" w14:textId="2EC57BFD" w:rsidR="00627BED" w:rsidRDefault="00627BED" w:rsidP="00627BED">
      <w:pPr>
        <w:spacing w:line="276" w:lineRule="auto"/>
      </w:pPr>
      <w:r>
        <w:t>The VRTAC-QM recorded or broadcast 1</w:t>
      </w:r>
      <w:r w:rsidR="00663B2E">
        <w:t>2</w:t>
      </w:r>
      <w:r>
        <w:t xml:space="preserve"> webinars in Year One. </w:t>
      </w:r>
      <w:r w:rsidR="00663B2E">
        <w:t xml:space="preserve">The </w:t>
      </w:r>
      <w:r>
        <w:t xml:space="preserve">topics </w:t>
      </w:r>
      <w:r w:rsidR="00663B2E">
        <w:t xml:space="preserve">and enrollment are </w:t>
      </w:r>
      <w:r>
        <w:t>include</w:t>
      </w:r>
      <w:r w:rsidR="00663B2E">
        <w:t>d below</w:t>
      </w:r>
      <w:r>
        <w:t>:</w:t>
      </w:r>
    </w:p>
    <w:p w14:paraId="7FA3C2C4" w14:textId="569B7982" w:rsidR="00627BED" w:rsidRDefault="00627BED" w:rsidP="00627BED">
      <w:pPr>
        <w:pStyle w:val="ListParagraph"/>
        <w:numPr>
          <w:ilvl w:val="0"/>
          <w:numId w:val="29"/>
        </w:numPr>
        <w:spacing w:line="276" w:lineRule="auto"/>
      </w:pPr>
      <w:r>
        <w:t>A Systems Approach to Serving Individuals with Significant Disabilities</w:t>
      </w:r>
      <w:r w:rsidR="00663B2E">
        <w:t xml:space="preserve"> - 570</w:t>
      </w:r>
    </w:p>
    <w:p w14:paraId="4C9301CD" w14:textId="1774D753" w:rsidR="00627BED" w:rsidRDefault="00627BED" w:rsidP="00627BED">
      <w:pPr>
        <w:pStyle w:val="ListParagraph"/>
        <w:numPr>
          <w:ilvl w:val="0"/>
          <w:numId w:val="29"/>
        </w:numPr>
        <w:spacing w:line="276" w:lineRule="auto"/>
      </w:pPr>
      <w:r>
        <w:lastRenderedPageBreak/>
        <w:t>Conflict Resolution</w:t>
      </w:r>
      <w:r w:rsidR="00663B2E">
        <w:t xml:space="preserve"> - 162</w:t>
      </w:r>
    </w:p>
    <w:p w14:paraId="6FE31745" w14:textId="085C1064" w:rsidR="00627BED" w:rsidRDefault="00627BED" w:rsidP="00627BED">
      <w:pPr>
        <w:pStyle w:val="ListParagraph"/>
        <w:numPr>
          <w:ilvl w:val="0"/>
          <w:numId w:val="29"/>
        </w:numPr>
        <w:spacing w:line="276" w:lineRule="auto"/>
      </w:pPr>
      <w:r>
        <w:t>Ethics, Supervision and Technology</w:t>
      </w:r>
      <w:r w:rsidR="00663B2E">
        <w:t xml:space="preserve"> - 271</w:t>
      </w:r>
    </w:p>
    <w:p w14:paraId="7B415206" w14:textId="70BEDF9E" w:rsidR="00627BED" w:rsidRDefault="00627BED" w:rsidP="00627BED">
      <w:pPr>
        <w:pStyle w:val="ListParagraph"/>
        <w:numPr>
          <w:ilvl w:val="0"/>
          <w:numId w:val="29"/>
        </w:numPr>
        <w:spacing w:line="276" w:lineRule="auto"/>
      </w:pPr>
      <w:r>
        <w:t>Managing the 15% Reserve (with NTACT:C)</w:t>
      </w:r>
      <w:r w:rsidR="00663B2E">
        <w:t xml:space="preserve"> - </w:t>
      </w:r>
      <w:r w:rsidR="00966AD1">
        <w:t>201</w:t>
      </w:r>
    </w:p>
    <w:p w14:paraId="2246DD8B" w14:textId="24CFB4CB" w:rsidR="00627BED" w:rsidRDefault="00627BED" w:rsidP="00627BED">
      <w:pPr>
        <w:pStyle w:val="ListParagraph"/>
        <w:numPr>
          <w:ilvl w:val="0"/>
          <w:numId w:val="29"/>
        </w:numPr>
        <w:spacing w:line="276" w:lineRule="auto"/>
      </w:pPr>
      <w:r>
        <w:t>Non-Delegable Responsibilities and Organizational Structure Unpacked</w:t>
      </w:r>
      <w:r w:rsidR="00966AD1">
        <w:t xml:space="preserve"> - 102</w:t>
      </w:r>
    </w:p>
    <w:p w14:paraId="051429DE" w14:textId="0D5E7DAA" w:rsidR="00627BED" w:rsidRDefault="00627BED" w:rsidP="00627BED">
      <w:pPr>
        <w:pStyle w:val="ListParagraph"/>
        <w:numPr>
          <w:ilvl w:val="0"/>
          <w:numId w:val="29"/>
        </w:numPr>
        <w:spacing w:line="276" w:lineRule="auto"/>
      </w:pPr>
      <w:r>
        <w:t>Moving from Peer to Supervisor</w:t>
      </w:r>
      <w:r w:rsidR="00966AD1">
        <w:t xml:space="preserve"> - 176</w:t>
      </w:r>
    </w:p>
    <w:p w14:paraId="0EB5F9EA" w14:textId="72ADD100" w:rsidR="00627BED" w:rsidRDefault="00204145" w:rsidP="00627BED">
      <w:pPr>
        <w:pStyle w:val="ListParagraph"/>
        <w:numPr>
          <w:ilvl w:val="0"/>
          <w:numId w:val="29"/>
        </w:numPr>
        <w:spacing w:line="276" w:lineRule="auto"/>
      </w:pPr>
      <w:r>
        <w:t xml:space="preserve">The 7 Secrets of </w:t>
      </w:r>
      <w:r w:rsidR="00627BED">
        <w:t>Remote Supervision</w:t>
      </w:r>
      <w:r w:rsidR="00966AD1">
        <w:t xml:space="preserve"> - 560</w:t>
      </w:r>
    </w:p>
    <w:p w14:paraId="2A2C3002" w14:textId="0F7A3B07" w:rsidR="00627BED" w:rsidRDefault="00627BED" w:rsidP="00627BED">
      <w:pPr>
        <w:pStyle w:val="ListParagraph"/>
        <w:numPr>
          <w:ilvl w:val="0"/>
          <w:numId w:val="29"/>
        </w:numPr>
        <w:spacing w:line="276" w:lineRule="auto"/>
      </w:pPr>
      <w:r>
        <w:t>The State Rehabilitation Council (4-part series)</w:t>
      </w:r>
      <w:r w:rsidR="00966AD1">
        <w:t xml:space="preserve"> - 132</w:t>
      </w:r>
    </w:p>
    <w:p w14:paraId="3667E3CF" w14:textId="6410F15A" w:rsidR="00627BED" w:rsidRDefault="00627BED" w:rsidP="00627BED">
      <w:pPr>
        <w:pStyle w:val="ListParagraph"/>
        <w:numPr>
          <w:ilvl w:val="0"/>
          <w:numId w:val="29"/>
        </w:numPr>
        <w:spacing w:line="276" w:lineRule="auto"/>
      </w:pPr>
      <w:r>
        <w:t>Pre-ETS Flexibilities (with NTAC:C)</w:t>
      </w:r>
      <w:r w:rsidR="00966AD1">
        <w:t xml:space="preserve"> - 548</w:t>
      </w:r>
    </w:p>
    <w:p w14:paraId="43F1A438" w14:textId="5E9A4B57" w:rsidR="00627BED" w:rsidRDefault="00627BED" w:rsidP="00627BED">
      <w:pPr>
        <w:pStyle w:val="ListParagraph"/>
        <w:numPr>
          <w:ilvl w:val="0"/>
          <w:numId w:val="29"/>
        </w:numPr>
        <w:spacing w:line="276" w:lineRule="auto"/>
      </w:pPr>
      <w:r>
        <w:t>A Sustainable Approach to Providing Customized Employment (with QE)</w:t>
      </w:r>
      <w:r w:rsidR="00966AD1">
        <w:t xml:space="preserve"> - 259</w:t>
      </w:r>
    </w:p>
    <w:p w14:paraId="09D0CFF2" w14:textId="6EAD26CC" w:rsidR="00232ADA" w:rsidRDefault="00232ADA" w:rsidP="00627BED">
      <w:pPr>
        <w:pStyle w:val="ListParagraph"/>
        <w:numPr>
          <w:ilvl w:val="0"/>
          <w:numId w:val="29"/>
        </w:numPr>
        <w:spacing w:line="276" w:lineRule="auto"/>
      </w:pPr>
      <w:r>
        <w:t>Pre-employment transition services strategic planning: A collaborative approach (with NTACT:C)</w:t>
      </w:r>
      <w:r w:rsidR="00966AD1">
        <w:t xml:space="preserve"> - 130</w:t>
      </w:r>
    </w:p>
    <w:p w14:paraId="61FB34BA" w14:textId="071143A4" w:rsidR="00204145" w:rsidRDefault="00204145" w:rsidP="00627BED">
      <w:pPr>
        <w:pStyle w:val="ListParagraph"/>
        <w:numPr>
          <w:ilvl w:val="0"/>
          <w:numId w:val="29"/>
        </w:numPr>
        <w:spacing w:line="276" w:lineRule="auto"/>
      </w:pPr>
      <w:r>
        <w:t>Achieving a common understanding of customized employment (with QE)</w:t>
      </w:r>
      <w:r w:rsidR="00966AD1">
        <w:t xml:space="preserve"> – unknown</w:t>
      </w:r>
    </w:p>
    <w:p w14:paraId="7D0AFEEF" w14:textId="76C55844" w:rsidR="00966AD1" w:rsidRPr="00966AD1" w:rsidRDefault="00966AD1" w:rsidP="00966AD1">
      <w:pPr>
        <w:spacing w:line="276" w:lineRule="auto"/>
        <w:ind w:left="360"/>
        <w:rPr>
          <w:b/>
          <w:bCs/>
        </w:rPr>
      </w:pPr>
      <w:r w:rsidRPr="00966AD1">
        <w:rPr>
          <w:b/>
          <w:bCs/>
        </w:rPr>
        <w:t>Total webinar enrollment in Year One = 3,111</w:t>
      </w:r>
    </w:p>
    <w:p w14:paraId="38B76647" w14:textId="77777777" w:rsidR="00360A17" w:rsidRDefault="00360A17" w:rsidP="00360A17">
      <w:pPr>
        <w:pStyle w:val="Heading2"/>
      </w:pPr>
      <w:bookmarkStart w:id="21" w:name="_Toc92084380"/>
      <w:r>
        <w:t>Distribution Lists:</w:t>
      </w:r>
      <w:bookmarkEnd w:id="21"/>
    </w:p>
    <w:p w14:paraId="6EDB8C61" w14:textId="77777777" w:rsidR="00360A17" w:rsidRDefault="00360A17" w:rsidP="00360A17">
      <w:pPr>
        <w:pStyle w:val="Style1"/>
      </w:pPr>
      <w:r>
        <w:t>The distribution lists for the VRTAC-QM lunched with the new website.  As of 9-30-2021 there were 312 people registered for the following lists:</w:t>
      </w:r>
    </w:p>
    <w:p w14:paraId="77A5563A" w14:textId="77777777" w:rsidR="00360A17" w:rsidRDefault="00360A17" w:rsidP="00360A17">
      <w:pPr>
        <w:numPr>
          <w:ilvl w:val="0"/>
          <w:numId w:val="9"/>
        </w:numPr>
        <w:spacing w:after="0" w:line="240" w:lineRule="auto"/>
        <w:rPr>
          <w:rFonts w:eastAsia="Times New Roman"/>
        </w:rPr>
      </w:pPr>
      <w:r>
        <w:rPr>
          <w:rFonts w:eastAsia="Times New Roman"/>
        </w:rPr>
        <w:t>Program &amp; Performance QM: 288</w:t>
      </w:r>
    </w:p>
    <w:p w14:paraId="1CE9EBFA" w14:textId="77777777" w:rsidR="00360A17" w:rsidRDefault="00360A17" w:rsidP="00360A17">
      <w:pPr>
        <w:numPr>
          <w:ilvl w:val="0"/>
          <w:numId w:val="9"/>
        </w:numPr>
        <w:spacing w:after="0" w:line="240" w:lineRule="auto"/>
        <w:rPr>
          <w:rFonts w:eastAsia="Times New Roman"/>
        </w:rPr>
      </w:pPr>
      <w:r>
        <w:rPr>
          <w:rFonts w:eastAsia="Times New Roman"/>
        </w:rPr>
        <w:t>Fiscal &amp; Resource QM: 254</w:t>
      </w:r>
    </w:p>
    <w:p w14:paraId="550EA7DE" w14:textId="77777777" w:rsidR="00360A17" w:rsidRDefault="00360A17" w:rsidP="0078343B">
      <w:pPr>
        <w:numPr>
          <w:ilvl w:val="0"/>
          <w:numId w:val="9"/>
        </w:numPr>
        <w:spacing w:after="240" w:line="240" w:lineRule="auto"/>
        <w:rPr>
          <w:rFonts w:eastAsia="Times New Roman"/>
        </w:rPr>
      </w:pPr>
      <w:r>
        <w:rPr>
          <w:rFonts w:eastAsia="Times New Roman"/>
        </w:rPr>
        <w:t>General QM of Orgs: 256</w:t>
      </w:r>
    </w:p>
    <w:p w14:paraId="60250DF1" w14:textId="090D263D" w:rsidR="003B6D43" w:rsidRPr="009C6E5E" w:rsidRDefault="003B6D43" w:rsidP="00AF5BF7">
      <w:pPr>
        <w:pStyle w:val="Heading1"/>
      </w:pPr>
      <w:bookmarkStart w:id="22" w:name="_Toc92084381"/>
      <w:r w:rsidRPr="009C6E5E">
        <w:t>Collaboration with other TA Centers</w:t>
      </w:r>
      <w:bookmarkEnd w:id="22"/>
    </w:p>
    <w:p w14:paraId="5B98C267" w14:textId="5073BDE1" w:rsidR="0078343B" w:rsidRDefault="0078343B" w:rsidP="0078343B">
      <w:pPr>
        <w:spacing w:line="276" w:lineRule="auto"/>
      </w:pPr>
      <w:r>
        <w:t>The first year of the project laid the foundation for the VRTAC-QM to collaborate with the VRTAC-QE, the NTACT:C and the CIT-VR centers frequently. Some examples of our collaboration include:</w:t>
      </w:r>
    </w:p>
    <w:p w14:paraId="05552D6F" w14:textId="5B7179D4" w:rsidR="0078343B" w:rsidRDefault="0078343B" w:rsidP="00CF744E">
      <w:pPr>
        <w:pStyle w:val="ListParagraph"/>
        <w:numPr>
          <w:ilvl w:val="0"/>
          <w:numId w:val="13"/>
        </w:numPr>
        <w:spacing w:line="276" w:lineRule="auto"/>
        <w:contextualSpacing w:val="0"/>
      </w:pPr>
      <w:r>
        <w:t xml:space="preserve">Leading and facilitating the TAC collaborative monthly </w:t>
      </w:r>
      <w:proofErr w:type="gramStart"/>
      <w:r>
        <w:t>calls;</w:t>
      </w:r>
      <w:proofErr w:type="gramEnd"/>
    </w:p>
    <w:p w14:paraId="477C444A" w14:textId="77777777" w:rsidR="0078343B" w:rsidRDefault="0078343B" w:rsidP="0095104F">
      <w:pPr>
        <w:pStyle w:val="ListParagraph"/>
        <w:numPr>
          <w:ilvl w:val="0"/>
          <w:numId w:val="13"/>
        </w:numPr>
        <w:spacing w:line="276" w:lineRule="auto"/>
        <w:contextualSpacing w:val="0"/>
      </w:pPr>
      <w:r>
        <w:t xml:space="preserve">Multiple Webinars developed in partnership with the CIT-VR and NTACT:C including </w:t>
      </w:r>
      <w:r w:rsidR="007600EA">
        <w:t>the 7 Secrets of Remote</w:t>
      </w:r>
      <w:r>
        <w:t xml:space="preserve">, and </w:t>
      </w:r>
      <w:r w:rsidR="007600EA" w:rsidRPr="003133E4">
        <w:t>Pre-Employment Transition Services Flexibility Regarding the Use of Federal Vocational Rehabilitation Funds</w:t>
      </w:r>
      <w:r w:rsidR="007600EA">
        <w:t xml:space="preserve">. </w:t>
      </w:r>
    </w:p>
    <w:p w14:paraId="4FF0D189" w14:textId="475CA03E" w:rsidR="007600EA" w:rsidRDefault="007600EA" w:rsidP="0095104F">
      <w:pPr>
        <w:pStyle w:val="ListParagraph"/>
        <w:numPr>
          <w:ilvl w:val="0"/>
          <w:numId w:val="13"/>
        </w:numPr>
        <w:spacing w:line="276" w:lineRule="auto"/>
        <w:contextualSpacing w:val="0"/>
      </w:pPr>
      <w:r>
        <w:t>Collaboration with the NTACT:C and VRTAC-QE on multiple SVRAs including Montana, Pennsylvania, Nebraska Blind (OIB as well), Iowa Blind, Michigan General and Blind, South Carolina General, Missouri General and Blind, Florida Blind; South Dakota General and North Carolina Blind.</w:t>
      </w:r>
    </w:p>
    <w:p w14:paraId="64A3458A" w14:textId="35719DB1" w:rsidR="007600EA" w:rsidRDefault="0078343B" w:rsidP="00CF744E">
      <w:pPr>
        <w:pStyle w:val="ListParagraph"/>
        <w:numPr>
          <w:ilvl w:val="0"/>
          <w:numId w:val="13"/>
        </w:numPr>
        <w:spacing w:line="276" w:lineRule="auto"/>
        <w:contextualSpacing w:val="0"/>
      </w:pPr>
      <w:r>
        <w:t>Formal inclusion of the NTACT:C in the ITAA for Kansas and Pennsylvania</w:t>
      </w:r>
      <w:r w:rsidR="007600EA">
        <w:t>.</w:t>
      </w:r>
    </w:p>
    <w:p w14:paraId="2AAD6415" w14:textId="1C9EBA2E" w:rsidR="00D015B0" w:rsidRDefault="00D015B0" w:rsidP="00D015B0">
      <w:pPr>
        <w:pStyle w:val="Heading1"/>
      </w:pPr>
      <w:bookmarkStart w:id="23" w:name="_Toc92084382"/>
      <w:r>
        <w:t>Special Projects</w:t>
      </w:r>
      <w:bookmarkEnd w:id="23"/>
    </w:p>
    <w:p w14:paraId="58E5400F" w14:textId="0567FEA2" w:rsidR="002F3FE4" w:rsidRDefault="002F3FE4" w:rsidP="00D015B0">
      <w:pPr>
        <w:pStyle w:val="Style1"/>
      </w:pPr>
      <w:r>
        <w:t xml:space="preserve">This section includes information on the progress of our three special projects.  Each of these projects made progress in their </w:t>
      </w:r>
      <w:r w:rsidR="007600EA">
        <w:t>development in the second quarter</w:t>
      </w:r>
      <w:r>
        <w:t>.</w:t>
      </w:r>
    </w:p>
    <w:p w14:paraId="6DD775C2" w14:textId="77777777" w:rsidR="002F3FE4" w:rsidRDefault="002F3FE4" w:rsidP="002F3FE4">
      <w:pPr>
        <w:pStyle w:val="Heading2"/>
      </w:pPr>
      <w:bookmarkStart w:id="24" w:name="_Toc92084383"/>
      <w:r>
        <w:t>Community Reinvestment Act Project:</w:t>
      </w:r>
      <w:bookmarkEnd w:id="24"/>
    </w:p>
    <w:p w14:paraId="5127281E" w14:textId="77777777" w:rsidR="002C70F2" w:rsidRPr="000F0F85" w:rsidRDefault="002C70F2" w:rsidP="002C70F2">
      <w:r w:rsidRPr="000F0F85">
        <w:t xml:space="preserve">The CRA Pilot provides a State Vocational Rehabilitation Agency (SVRA) and banking institutions with the necessary information, resources, and technical assistance to </w:t>
      </w:r>
      <w:proofErr w:type="gramStart"/>
      <w:r w:rsidRPr="000F0F85">
        <w:t>enter into</w:t>
      </w:r>
      <w:proofErr w:type="gramEnd"/>
      <w:r w:rsidRPr="000F0F85">
        <w:t xml:space="preserve"> a mutually beneficial federal matching partnership.</w:t>
      </w:r>
    </w:p>
    <w:p w14:paraId="663AE36F" w14:textId="77777777" w:rsidR="002C70F2" w:rsidRPr="000F0F85" w:rsidRDefault="002C70F2" w:rsidP="002C70F2">
      <w:r w:rsidRPr="000F0F85">
        <w:lastRenderedPageBreak/>
        <w:t>Completed the Roadmaps for both SVRAs and Banks that provide a written guidance and framework for how to develop, plan and operationalize the CRA pilots. The NDI team made further revisions to a marketing piece to help engage banks with this unique opportunity for CRA credit. During this quarter, the one-pager was shared with several banks including:</w:t>
      </w:r>
    </w:p>
    <w:p w14:paraId="7C33FFAC" w14:textId="77777777" w:rsidR="002C70F2" w:rsidRPr="000F0F85" w:rsidRDefault="002C70F2" w:rsidP="002C70F2">
      <w:r w:rsidRPr="000F0F85">
        <w:t>Schwab</w:t>
      </w:r>
    </w:p>
    <w:p w14:paraId="71E46E54" w14:textId="77777777" w:rsidR="002C70F2" w:rsidRPr="000F0F85" w:rsidRDefault="002C70F2" w:rsidP="002C70F2">
      <w:r w:rsidRPr="000F0F85">
        <w:t xml:space="preserve">Wells Fargo </w:t>
      </w:r>
    </w:p>
    <w:p w14:paraId="63698EAA" w14:textId="77777777" w:rsidR="002C70F2" w:rsidRPr="000F0F85" w:rsidRDefault="002C70F2" w:rsidP="002C70F2">
      <w:r w:rsidRPr="000F0F85">
        <w:t>Amalgamated Bank</w:t>
      </w:r>
    </w:p>
    <w:p w14:paraId="6392FD3A" w14:textId="77777777" w:rsidR="002C70F2" w:rsidRPr="000F0F85" w:rsidRDefault="002C70F2" w:rsidP="002C70F2">
      <w:r w:rsidRPr="000F0F85">
        <w:t>TD Bank</w:t>
      </w:r>
    </w:p>
    <w:p w14:paraId="19098260" w14:textId="77777777" w:rsidR="002C70F2" w:rsidRPr="000F0F85" w:rsidRDefault="002C70F2" w:rsidP="002C70F2">
      <w:r w:rsidRPr="000F0F85">
        <w:t>JPMorgan Chase</w:t>
      </w:r>
    </w:p>
    <w:p w14:paraId="1CDB4A5C" w14:textId="77777777" w:rsidR="002C70F2" w:rsidRPr="000F0F85" w:rsidRDefault="002C70F2" w:rsidP="002C70F2">
      <w:r w:rsidRPr="000F0F85">
        <w:t xml:space="preserve">At the recommendation of RSA, an application for SVRAs to apply for the funds for the CRA pilot was completed in draft and sent for review to Sarah Clardy. However, there is now discussion from RSA as to whether or not the TACs can vet states through the application </w:t>
      </w:r>
      <w:proofErr w:type="gramStart"/>
      <w:r w:rsidRPr="000F0F85">
        <w:t>process</w:t>
      </w:r>
      <w:proofErr w:type="gramEnd"/>
      <w:r w:rsidRPr="000F0F85">
        <w:t xml:space="preserve"> so this is on hold awaiting a response from RSA.</w:t>
      </w:r>
    </w:p>
    <w:p w14:paraId="23C068B7" w14:textId="77777777" w:rsidR="002C70F2" w:rsidRPr="000F0F85" w:rsidRDefault="002C70F2" w:rsidP="002C70F2">
      <w:r w:rsidRPr="000F0F85">
        <w:t xml:space="preserve">We still do not have responses from RSA to our questions that were submitted April 21, 2021. According to updates from RSA, David Steele is bringing this topic to top leadership to try and get the questions bumped up on OGC’s priority list. One of the questions was whether or not a specific agreement or MOU is needed for a private entity’s donation to </w:t>
      </w:r>
      <w:proofErr w:type="gramStart"/>
      <w:r w:rsidRPr="000F0F85">
        <w:t>an</w:t>
      </w:r>
      <w:proofErr w:type="gramEnd"/>
      <w:r w:rsidRPr="000F0F85">
        <w:t xml:space="preserve"> SVRA and what was required to be in such an agreement. Since we are still awaiting a </w:t>
      </w:r>
      <w:proofErr w:type="gramStart"/>
      <w:r w:rsidRPr="000F0F85">
        <w:t>response</w:t>
      </w:r>
      <w:proofErr w:type="gramEnd"/>
      <w:r w:rsidRPr="000F0F85">
        <w:t xml:space="preserve"> we have reached out to request copies of any agreements SVRAs may have to use as examples so we can begin drafting a document in preparation of a pilot agreement, recognizing it may need to be revised once we have RSA’s response. </w:t>
      </w:r>
    </w:p>
    <w:p w14:paraId="277DFE49" w14:textId="77777777" w:rsidR="002C70F2" w:rsidRPr="00CF45E7" w:rsidRDefault="002C70F2" w:rsidP="002C70F2">
      <w:pPr>
        <w:rPr>
          <w:b/>
          <w:bCs/>
        </w:rPr>
      </w:pPr>
      <w:r w:rsidRPr="00CF45E7">
        <w:rPr>
          <w:b/>
          <w:bCs/>
        </w:rPr>
        <w:t>SVRA Activities</w:t>
      </w:r>
    </w:p>
    <w:p w14:paraId="27910D23" w14:textId="77777777" w:rsidR="002C70F2" w:rsidRPr="000F0F85" w:rsidRDefault="002C70F2" w:rsidP="002C70F2">
      <w:r w:rsidRPr="000F0F85">
        <w:t xml:space="preserve">NDI continues to work with Griffin Hammis Associates on the Community of Practice (CoP) on Self-Employment. The initial CoP Kick Off meeting was held July 23rd with 28 individuals representing 17 SVRAs across the country. Information on the pilot was shared with all CoP members. Two states showed interest in participating, but neither </w:t>
      </w:r>
      <w:proofErr w:type="gramStart"/>
      <w:r w:rsidRPr="000F0F85">
        <w:t>were in need of</w:t>
      </w:r>
      <w:proofErr w:type="gramEnd"/>
      <w:r w:rsidRPr="000F0F85">
        <w:t xml:space="preserve"> match at this time. Next CoP meeting will be held October 14</w:t>
      </w:r>
      <w:r w:rsidRPr="000F0F85">
        <w:rPr>
          <w:vertAlign w:val="superscript"/>
        </w:rPr>
        <w:t>th</w:t>
      </w:r>
      <w:r w:rsidRPr="000F0F85">
        <w:t>.</w:t>
      </w:r>
    </w:p>
    <w:p w14:paraId="02B1D0A9" w14:textId="77777777" w:rsidR="002C70F2" w:rsidRPr="000F0F85" w:rsidRDefault="002C70F2" w:rsidP="002C70F2">
      <w:r w:rsidRPr="000F0F85">
        <w:t xml:space="preserve">Information from RSA on SVRAs relinquished allotment funds was reviewed. Attempts were made to determine which of the states relinquished part, or all, of funds due to lack of match. However, those contacted did not have a match deficit but relinquished for other reasons. We will continue to attempt to determine if any of the states did relinquish for match shortfalls and reach out to them in the future. </w:t>
      </w:r>
    </w:p>
    <w:p w14:paraId="7A9E87CE" w14:textId="77777777" w:rsidR="002C70F2" w:rsidRPr="00CF45E7" w:rsidRDefault="002C70F2" w:rsidP="002C70F2">
      <w:pPr>
        <w:rPr>
          <w:b/>
          <w:bCs/>
          <w:i/>
        </w:rPr>
      </w:pPr>
      <w:r w:rsidRPr="00CF45E7">
        <w:rPr>
          <w:b/>
          <w:bCs/>
        </w:rPr>
        <w:t>Activities with financial institutions and bank regulators</w:t>
      </w:r>
    </w:p>
    <w:p w14:paraId="2ECCF4AF" w14:textId="77777777" w:rsidR="002C70F2" w:rsidRPr="000F0F85" w:rsidRDefault="002C70F2" w:rsidP="002C70F2">
      <w:r w:rsidRPr="000F0F85">
        <w:t xml:space="preserve">Several </w:t>
      </w:r>
      <w:proofErr w:type="gramStart"/>
      <w:r w:rsidRPr="000F0F85">
        <w:t>meeting</w:t>
      </w:r>
      <w:proofErr w:type="gramEnd"/>
      <w:r w:rsidRPr="000F0F85">
        <w:t xml:space="preserve"> have occurred with JPMorgan Chase discussing recommendations for involvement in the VR/CRA project. A new approach with Chase is to consider their engagement in this project to support advancement of small business development by people with disabilities. This focus has become an evolving priority at Chase with their staff that focus on support of minority and economically vulnerable populations with particular attention to small business owners who are Black, Latinx, women, veterans and/or disabled.</w:t>
      </w:r>
    </w:p>
    <w:p w14:paraId="07D397F2" w14:textId="77777777" w:rsidR="002C70F2" w:rsidRPr="000F0F85" w:rsidRDefault="002C70F2" w:rsidP="002C70F2">
      <w:r w:rsidRPr="000F0F85">
        <w:t xml:space="preserve">Meeting has been scheduled for October with Amalgamated Bank, based in New York City with offices in Washington, DC, </w:t>
      </w:r>
      <w:proofErr w:type="gramStart"/>
      <w:r w:rsidRPr="000F0F85">
        <w:t>Chicago</w:t>
      </w:r>
      <w:proofErr w:type="gramEnd"/>
      <w:r w:rsidRPr="000F0F85">
        <w:t xml:space="preserve"> and San Francisco. Their chief CRA officer has expressed interest with us to support workforce development activities to advance employment results for people with disabilities. Amalgamated has a long history of social responsibility, is very connected with labor unions and has particular interest in support of </w:t>
      </w:r>
      <w:proofErr w:type="gramStart"/>
      <w:r w:rsidRPr="000F0F85">
        <w:t>economically disadvantaged</w:t>
      </w:r>
      <w:proofErr w:type="gramEnd"/>
      <w:r w:rsidRPr="000F0F85">
        <w:t xml:space="preserve"> populations, so we are hopeful that this will lead to a positive outcome. Their </w:t>
      </w:r>
      <w:r w:rsidRPr="000F0F85">
        <w:lastRenderedPageBreak/>
        <w:t xml:space="preserve">CRA officer also shared that she </w:t>
      </w:r>
      <w:proofErr w:type="gramStart"/>
      <w:r w:rsidRPr="000F0F85">
        <w:t>will</w:t>
      </w:r>
      <w:proofErr w:type="gramEnd"/>
      <w:r w:rsidRPr="000F0F85">
        <w:t xml:space="preserve"> introduce us to several other banks she feels could have an interest in our pilot project.</w:t>
      </w:r>
    </w:p>
    <w:p w14:paraId="5B78E57F" w14:textId="77777777" w:rsidR="002C70F2" w:rsidRPr="000F0F85" w:rsidRDefault="002C70F2" w:rsidP="002C70F2">
      <w:r w:rsidRPr="000F0F85">
        <w:t>NDI continues to solicit advice from bank representatives who serve on the advisory panel to NDI’s Center for Disability Inclusive Community Development, as to best approaches and language to be used to introduce the potential of the pilot for bank participation. A new approach that has been suggested by Chase and TD Bank is for NDI to consider becoming a fiscal intermediary for banks that would simplify the process of a direct financial relationship with an SVRA and state government. This would eliminate the involvement of a bank’s legal team trying to negotiate details related to financial accounting, data collection and meeting a standard of proof related to serving low- and moderate-income (LMI) individuals. Under this scenario, a bank would provide CRA funds to NDI to be used for an SVRA match requirement to draw down federal funds. NDI would have a legal agreement with the SVRA that explains the conditions of the contribution, accounting for the funds and data collection requirements. NDI would also then have an agreement with the bank contributing dollars to support the SVRA that details their intent of the contribution and any specific conditions in the use of the funds. NDI has begun a discussion of this approach with the law firm that does pro bono legal work for NDI. More details will be able to be provided in the next quarter.</w:t>
      </w:r>
    </w:p>
    <w:p w14:paraId="48091706" w14:textId="77777777" w:rsidR="002C70F2" w:rsidRPr="000F0F85" w:rsidRDefault="002C70F2" w:rsidP="002C70F2">
      <w:r w:rsidRPr="000F0F85">
        <w:t>Meetings are being scheduled for next quarter to touch base with the three bank regulators (OCC, FDIC, Federal Reserve) to provide them an update on the project and with new Administration leaders now on board to seek their assistance in reaching potential banks to participate in the project.</w:t>
      </w:r>
    </w:p>
    <w:p w14:paraId="1FC50B83" w14:textId="77777777" w:rsidR="002C70F2" w:rsidRPr="00CF45E7" w:rsidRDefault="002C70F2" w:rsidP="002C70F2">
      <w:pPr>
        <w:rPr>
          <w:b/>
          <w:bCs/>
          <w:i/>
        </w:rPr>
      </w:pPr>
      <w:r w:rsidRPr="00CF45E7">
        <w:rPr>
          <w:b/>
          <w:bCs/>
        </w:rPr>
        <w:t>Activities with Rehabilitation Services Administration</w:t>
      </w:r>
    </w:p>
    <w:p w14:paraId="65575B42" w14:textId="77777777" w:rsidR="002C70F2" w:rsidRPr="000F0F85" w:rsidRDefault="002C70F2" w:rsidP="002C70F2">
      <w:r w:rsidRPr="000F0F85">
        <w:t xml:space="preserve">We continue to stay in communication with RSA through Sarah Clardy and are still awaiting responses to our questions and the decision of </w:t>
      </w:r>
      <w:proofErr w:type="gramStart"/>
      <w:r w:rsidRPr="000F0F85">
        <w:t>whether or not</w:t>
      </w:r>
      <w:proofErr w:type="gramEnd"/>
      <w:r w:rsidRPr="000F0F85">
        <w:t xml:space="preserve"> we can use an application process for the pilots with the SVRAs.</w:t>
      </w:r>
    </w:p>
    <w:p w14:paraId="6354D56E" w14:textId="77777777" w:rsidR="002C70F2" w:rsidRPr="00CF45E7" w:rsidRDefault="002C70F2" w:rsidP="002C70F2">
      <w:pPr>
        <w:rPr>
          <w:b/>
          <w:bCs/>
        </w:rPr>
      </w:pPr>
      <w:r w:rsidRPr="00CF45E7">
        <w:rPr>
          <w:b/>
          <w:bCs/>
        </w:rPr>
        <w:t xml:space="preserve">Questions that remain unanswered: </w:t>
      </w:r>
    </w:p>
    <w:p w14:paraId="488CD0BA" w14:textId="77777777" w:rsidR="002C70F2" w:rsidRPr="000F0F85" w:rsidRDefault="002C70F2" w:rsidP="002C70F2">
      <w:r w:rsidRPr="000F0F85">
        <w:t>Contributions by private entities, per 361.60 (b)(3) are to be deposited in the state agency’s account.  Can these funds be initially deposited into another state account (</w:t>
      </w:r>
      <w:proofErr w:type="gramStart"/>
      <w:r w:rsidRPr="000F0F85">
        <w:t>i.e.</w:t>
      </w:r>
      <w:proofErr w:type="gramEnd"/>
      <w:r w:rsidRPr="000F0F85">
        <w:t xml:space="preserve"> treasury, the SDA, etc.) and then be transferred to the SVRA account?</w:t>
      </w:r>
    </w:p>
    <w:p w14:paraId="5D303B65" w14:textId="77777777" w:rsidR="002C70F2" w:rsidRPr="000F0F85" w:rsidRDefault="002C70F2" w:rsidP="002C70F2">
      <w:r w:rsidRPr="000F0F85">
        <w:t>361.60 (b)(2)(cc)(ciii) states in part can use the donated funds “Any other purpose under the vocational rehabilitation services portion of the Unified or Combined State Plan, provided the expenditures do not benefit in any way the donor, employee, officer, or agent, any member of his or her immediate family . . .” Does “in anyway” include IPE vocational rehabilitation services provided to an individual who is an employee in a business with multiple locations and hundreds or thousands of employees?</w:t>
      </w:r>
    </w:p>
    <w:p w14:paraId="1E638B01" w14:textId="77777777" w:rsidR="002C70F2" w:rsidRPr="000F0F85" w:rsidRDefault="002C70F2" w:rsidP="002C70F2">
      <w:r w:rsidRPr="000F0F85">
        <w:t xml:space="preserve">Banks are by the very nature shares financial or other interests because of loans or other financial dealings with a myriad number of businesses and organizations. Would 361.60 (b) (2) (cc) (ciii) apply to these entities and if so might </w:t>
      </w:r>
      <w:proofErr w:type="gramStart"/>
      <w:r w:rsidRPr="000F0F85">
        <w:t>an</w:t>
      </w:r>
      <w:proofErr w:type="gramEnd"/>
      <w:r w:rsidRPr="000F0F85">
        <w:t xml:space="preserve"> SVRA determine and document that an individual, entity or organization shared such a financial interest?</w:t>
      </w:r>
    </w:p>
    <w:p w14:paraId="6BD85BC2" w14:textId="77777777" w:rsidR="002C70F2" w:rsidRPr="000F0F85" w:rsidRDefault="002C70F2" w:rsidP="002C70F2">
      <w:r w:rsidRPr="000F0F85">
        <w:t xml:space="preserve">Are there any requirements of contributions by private entities </w:t>
      </w:r>
      <w:r w:rsidRPr="000F0F85">
        <w:rPr>
          <w:i/>
        </w:rPr>
        <w:t>(other than those identified in 361.60 (b)(2)(cc)(ciii))</w:t>
      </w:r>
      <w:r w:rsidRPr="000F0F85">
        <w:t>; § 361.60 Matching requirements; §361.27 Waiver of statewideness; 361.62 Maintenance of effort requirements; § 200.303 Internal controls; and § 200.306 Cost sharing or matching should VRTAC-QM review?</w:t>
      </w:r>
    </w:p>
    <w:p w14:paraId="66451CBB" w14:textId="77777777" w:rsidR="002C70F2" w:rsidRPr="000F0F85" w:rsidRDefault="002C70F2" w:rsidP="002C70F2">
      <w:r w:rsidRPr="000F0F85">
        <w:t xml:space="preserve">Can RSA point us to any states with internal controls best practices for contributions by private entities or general non-federal match controls. </w:t>
      </w:r>
    </w:p>
    <w:p w14:paraId="046C2A7F" w14:textId="77777777" w:rsidR="002C70F2" w:rsidRPr="000F0F85" w:rsidRDefault="002C70F2" w:rsidP="002C70F2">
      <w:r w:rsidRPr="000F0F85">
        <w:lastRenderedPageBreak/>
        <w:t xml:space="preserve">Is an agreement or MOU needed for a private entity’s donation to a SVRA and if </w:t>
      </w:r>
      <w:proofErr w:type="gramStart"/>
      <w:r w:rsidRPr="000F0F85">
        <w:t>so</w:t>
      </w:r>
      <w:proofErr w:type="gramEnd"/>
      <w:r w:rsidRPr="000F0F85">
        <w:t xml:space="preserve"> what is the required to be in the agreement or MOU?</w:t>
      </w:r>
    </w:p>
    <w:p w14:paraId="44A70794" w14:textId="77777777" w:rsidR="002C70F2" w:rsidRPr="00AD3F04" w:rsidRDefault="002C70F2" w:rsidP="002C70F2">
      <w:pPr>
        <w:rPr>
          <w:b/>
          <w:bCs/>
        </w:rPr>
      </w:pPr>
      <w:r w:rsidRPr="00AD3F04">
        <w:rPr>
          <w:b/>
          <w:bCs/>
        </w:rPr>
        <w:t>Conclusion</w:t>
      </w:r>
    </w:p>
    <w:p w14:paraId="6E3BF246" w14:textId="56DA9081" w:rsidR="001126BD" w:rsidRPr="00C231E3" w:rsidRDefault="002C70F2" w:rsidP="002C70F2">
      <w:pPr>
        <w:spacing w:line="240" w:lineRule="auto"/>
      </w:pPr>
      <w:r w:rsidRPr="000F0F85">
        <w:t>Progress and new relationships have been forged with banks and promotion of the VR/CRA pilots has been significant. While questions from RSA remain unanswered, we continue to forge ahead on the areas of marketing and dissemination of information on the potential of the opportunity of the project and develop as many tools and resources as possible prior to RSA and OCC responses to outstanding questions.</w:t>
      </w:r>
    </w:p>
    <w:p w14:paraId="6D06BE39" w14:textId="77777777" w:rsidR="00D015B0" w:rsidRDefault="002F3FE4" w:rsidP="002F3FE4">
      <w:pPr>
        <w:pStyle w:val="Heading2"/>
      </w:pPr>
      <w:bookmarkStart w:id="25" w:name="_Toc92084384"/>
      <w:r>
        <w:t>SARA Project:</w:t>
      </w:r>
      <w:bookmarkEnd w:id="25"/>
    </w:p>
    <w:p w14:paraId="247409FB" w14:textId="77777777" w:rsidR="00CB1C5D" w:rsidRPr="00C5164C" w:rsidRDefault="00CB1C5D" w:rsidP="00CB1C5D">
      <w:pPr>
        <w:pStyle w:val="NoSpacing"/>
        <w:spacing w:before="120" w:after="120"/>
      </w:pPr>
      <w:r w:rsidRPr="00C5164C">
        <w:t>During the first year of the project, has built the infrastructure needed to enact the project and has presented to several State Vocational Rehabilitation Agencies as potential partners.</w:t>
      </w:r>
    </w:p>
    <w:p w14:paraId="12AFB834" w14:textId="77777777" w:rsidR="00CB1C5D" w:rsidRPr="00C5164C" w:rsidRDefault="00CB1C5D" w:rsidP="00CB1C5D">
      <w:pPr>
        <w:pStyle w:val="NoSpacing"/>
        <w:spacing w:before="120" w:after="120"/>
        <w:rPr>
          <w:u w:val="single"/>
        </w:rPr>
      </w:pPr>
      <w:r w:rsidRPr="00C5164C">
        <w:rPr>
          <w:u w:val="single"/>
        </w:rPr>
        <w:t>Administrative Activities</w:t>
      </w:r>
    </w:p>
    <w:p w14:paraId="7A3A6A72" w14:textId="77777777" w:rsidR="00CB1C5D" w:rsidRPr="00C5164C" w:rsidRDefault="00CB1C5D" w:rsidP="00CB1C5D">
      <w:pPr>
        <w:pStyle w:val="NoSpacing"/>
        <w:spacing w:before="120" w:after="120"/>
      </w:pPr>
      <w:r w:rsidRPr="00C5164C">
        <w:t xml:space="preserve">In this year, SARA conducted the following administrative activities </w:t>
      </w:r>
      <w:proofErr w:type="gramStart"/>
      <w:r w:rsidRPr="00C5164C">
        <w:t>in order to</w:t>
      </w:r>
      <w:proofErr w:type="gramEnd"/>
      <w:r w:rsidRPr="00C5164C">
        <w:t xml:space="preserve"> administer the project. </w:t>
      </w:r>
    </w:p>
    <w:p w14:paraId="2E12832A" w14:textId="77777777" w:rsidR="00CB1C5D" w:rsidRPr="00C5164C" w:rsidRDefault="00CB1C5D" w:rsidP="00CB1C5D">
      <w:pPr>
        <w:pStyle w:val="NoSpacing"/>
        <w:numPr>
          <w:ilvl w:val="0"/>
          <w:numId w:val="2"/>
        </w:numPr>
        <w:ind w:right="-270"/>
      </w:pPr>
      <w:r w:rsidRPr="00C5164C">
        <w:t xml:space="preserve">Developed a </w:t>
      </w:r>
      <w:r w:rsidRPr="00C5164C">
        <w:rPr>
          <w:i/>
          <w:iCs/>
        </w:rPr>
        <w:t>Project Plan</w:t>
      </w:r>
      <w:r w:rsidRPr="00C5164C">
        <w:t xml:space="preserve">, which outlines project activities moving forward and a project rationale.  </w:t>
      </w:r>
    </w:p>
    <w:p w14:paraId="173E9D87" w14:textId="77777777" w:rsidR="00CB1C5D" w:rsidRPr="00C5164C" w:rsidRDefault="00CB1C5D" w:rsidP="00CB1C5D">
      <w:pPr>
        <w:pStyle w:val="NoSpacing"/>
        <w:numPr>
          <w:ilvl w:val="0"/>
          <w:numId w:val="2"/>
        </w:numPr>
        <w:ind w:right="-270"/>
      </w:pPr>
      <w:r w:rsidRPr="00C5164C">
        <w:t xml:space="preserve">Developed a </w:t>
      </w:r>
      <w:r w:rsidRPr="00C5164C">
        <w:rPr>
          <w:i/>
          <w:iCs/>
        </w:rPr>
        <w:t>Template for ITA Agreements</w:t>
      </w:r>
    </w:p>
    <w:p w14:paraId="582E1185" w14:textId="77777777" w:rsidR="00CB1C5D" w:rsidRPr="00C5164C" w:rsidRDefault="00CB1C5D" w:rsidP="00CB1C5D">
      <w:pPr>
        <w:pStyle w:val="NoSpacing"/>
        <w:numPr>
          <w:ilvl w:val="0"/>
          <w:numId w:val="2"/>
        </w:numPr>
        <w:ind w:right="-270"/>
      </w:pPr>
      <w:r w:rsidRPr="00C5164C">
        <w:t xml:space="preserve">Developed a </w:t>
      </w:r>
      <w:r w:rsidRPr="00C5164C">
        <w:rPr>
          <w:i/>
          <w:iCs/>
        </w:rPr>
        <w:t xml:space="preserve">Project Synopsis </w:t>
      </w:r>
      <w:r w:rsidRPr="00C5164C">
        <w:t>document</w:t>
      </w:r>
    </w:p>
    <w:p w14:paraId="7A62EE1C" w14:textId="77777777" w:rsidR="00CB1C5D" w:rsidRPr="00C5164C" w:rsidRDefault="00CB1C5D" w:rsidP="00CB1C5D">
      <w:pPr>
        <w:pStyle w:val="NoSpacing"/>
        <w:numPr>
          <w:ilvl w:val="0"/>
          <w:numId w:val="2"/>
        </w:numPr>
        <w:ind w:right="-270"/>
      </w:pPr>
      <w:r w:rsidRPr="00C5164C">
        <w:t xml:space="preserve">Developed an </w:t>
      </w:r>
      <w:r w:rsidRPr="00C5164C">
        <w:rPr>
          <w:i/>
          <w:iCs/>
        </w:rPr>
        <w:t>Agency Involvement Matrix</w:t>
      </w:r>
    </w:p>
    <w:p w14:paraId="40559D5C" w14:textId="77777777" w:rsidR="00CB1C5D" w:rsidRPr="00C5164C" w:rsidRDefault="00CB1C5D" w:rsidP="00CB1C5D">
      <w:pPr>
        <w:pStyle w:val="NoSpacing"/>
        <w:numPr>
          <w:ilvl w:val="0"/>
          <w:numId w:val="2"/>
        </w:numPr>
        <w:ind w:right="-270"/>
      </w:pPr>
      <w:r w:rsidRPr="00C5164C">
        <w:t xml:space="preserve">Developed and edited an </w:t>
      </w:r>
      <w:r w:rsidRPr="00C5164C">
        <w:rPr>
          <w:i/>
          <w:iCs/>
        </w:rPr>
        <w:t>Introductory PowerPoint</w:t>
      </w:r>
    </w:p>
    <w:p w14:paraId="2F82AF8F" w14:textId="77777777" w:rsidR="00CB1C5D" w:rsidRPr="00C5164C" w:rsidRDefault="00CB1C5D" w:rsidP="00CB1C5D">
      <w:pPr>
        <w:pStyle w:val="NoSpacing"/>
        <w:numPr>
          <w:ilvl w:val="0"/>
          <w:numId w:val="2"/>
        </w:numPr>
        <w:ind w:right="-270"/>
      </w:pPr>
      <w:r w:rsidRPr="00C5164C">
        <w:t xml:space="preserve">Developed and edited a </w:t>
      </w:r>
      <w:r w:rsidRPr="00C5164C">
        <w:rPr>
          <w:i/>
          <w:iCs/>
        </w:rPr>
        <w:t>SARA-TTW Project One Page Synopsis</w:t>
      </w:r>
    </w:p>
    <w:p w14:paraId="4395D252" w14:textId="77777777" w:rsidR="00CB1C5D" w:rsidRPr="00C5164C" w:rsidRDefault="00CB1C5D" w:rsidP="00CB1C5D">
      <w:pPr>
        <w:pStyle w:val="NoSpacing"/>
        <w:numPr>
          <w:ilvl w:val="0"/>
          <w:numId w:val="2"/>
        </w:numPr>
        <w:ind w:right="-270"/>
      </w:pPr>
      <w:r w:rsidRPr="00C5164C">
        <w:t xml:space="preserve">Developed and edited a </w:t>
      </w:r>
      <w:r w:rsidRPr="00C5164C">
        <w:rPr>
          <w:i/>
          <w:iCs/>
        </w:rPr>
        <w:t>SARA-TTW Project Two Page Synopsis</w:t>
      </w:r>
    </w:p>
    <w:p w14:paraId="65B277AB" w14:textId="77777777" w:rsidR="00CB1C5D" w:rsidRPr="00C5164C" w:rsidRDefault="00CB1C5D" w:rsidP="00CB1C5D">
      <w:pPr>
        <w:pStyle w:val="NoSpacing"/>
        <w:numPr>
          <w:ilvl w:val="0"/>
          <w:numId w:val="2"/>
        </w:numPr>
        <w:ind w:right="-270"/>
      </w:pPr>
      <w:r w:rsidRPr="00C5164C">
        <w:t xml:space="preserve">Developed </w:t>
      </w:r>
      <w:r w:rsidRPr="00C5164C">
        <w:rPr>
          <w:i/>
          <w:iCs/>
        </w:rPr>
        <w:t>Agency Fiscal Projections</w:t>
      </w:r>
      <w:r w:rsidRPr="00C5164C">
        <w:t xml:space="preserve"> based upon researched data</w:t>
      </w:r>
    </w:p>
    <w:p w14:paraId="0AA5B9D6" w14:textId="77777777" w:rsidR="00CB1C5D" w:rsidRPr="00C5164C" w:rsidRDefault="00CB1C5D" w:rsidP="00CB1C5D">
      <w:pPr>
        <w:pStyle w:val="NoSpacing"/>
        <w:numPr>
          <w:ilvl w:val="0"/>
          <w:numId w:val="2"/>
        </w:numPr>
        <w:ind w:right="-270"/>
      </w:pPr>
      <w:r w:rsidRPr="00C5164C">
        <w:t xml:space="preserve">Established a </w:t>
      </w:r>
      <w:r w:rsidRPr="00C5164C">
        <w:rPr>
          <w:i/>
          <w:iCs/>
        </w:rPr>
        <w:t>TTW Agency Mapping Protocol</w:t>
      </w:r>
      <w:r w:rsidRPr="00C5164C">
        <w:t xml:space="preserve"> </w:t>
      </w:r>
    </w:p>
    <w:p w14:paraId="12D6EAA3" w14:textId="77777777" w:rsidR="00CB1C5D" w:rsidRPr="00C5164C" w:rsidRDefault="00CB1C5D" w:rsidP="00CB1C5D">
      <w:pPr>
        <w:pStyle w:val="NoSpacing"/>
        <w:numPr>
          <w:ilvl w:val="0"/>
          <w:numId w:val="2"/>
        </w:numPr>
        <w:ind w:right="-270"/>
      </w:pPr>
      <w:r w:rsidRPr="00C5164C">
        <w:t>Participated in weekly SARA team meetings to review project progress</w:t>
      </w:r>
    </w:p>
    <w:p w14:paraId="59F422EA" w14:textId="77777777" w:rsidR="00CB1C5D" w:rsidRPr="00C5164C" w:rsidRDefault="00CB1C5D" w:rsidP="00CB1C5D">
      <w:pPr>
        <w:pStyle w:val="NoSpacing"/>
        <w:numPr>
          <w:ilvl w:val="0"/>
          <w:numId w:val="2"/>
        </w:numPr>
        <w:ind w:right="-270"/>
      </w:pPr>
      <w:r w:rsidRPr="00C5164C">
        <w:t>Participated in bi-weekly VRTAC-QM meetings</w:t>
      </w:r>
    </w:p>
    <w:p w14:paraId="05EC5197" w14:textId="77777777" w:rsidR="00CB1C5D" w:rsidRPr="00C5164C" w:rsidRDefault="00CB1C5D" w:rsidP="00CB1C5D">
      <w:pPr>
        <w:pStyle w:val="NoSpacing"/>
        <w:spacing w:before="120" w:after="120"/>
        <w:rPr>
          <w:u w:val="single"/>
        </w:rPr>
      </w:pPr>
      <w:r w:rsidRPr="00C5164C">
        <w:rPr>
          <w:u w:val="single"/>
        </w:rPr>
        <w:t>Intensive Technical Assistance Activities</w:t>
      </w:r>
    </w:p>
    <w:p w14:paraId="5602B484" w14:textId="77777777" w:rsidR="00CB1C5D" w:rsidRPr="00C5164C" w:rsidRDefault="00CB1C5D" w:rsidP="00CB1C5D">
      <w:pPr>
        <w:pStyle w:val="NoSpacing"/>
        <w:spacing w:before="120" w:after="120"/>
      </w:pPr>
      <w:r w:rsidRPr="00C5164C">
        <w:t>During this year, SARA conducted the following ITA related activities:</w:t>
      </w:r>
    </w:p>
    <w:p w14:paraId="40D421AA" w14:textId="77777777" w:rsidR="00CB1C5D" w:rsidRPr="00C5164C" w:rsidRDefault="00CB1C5D" w:rsidP="00CB1C5D">
      <w:pPr>
        <w:pStyle w:val="NoSpacing"/>
        <w:numPr>
          <w:ilvl w:val="0"/>
          <w:numId w:val="3"/>
        </w:numPr>
      </w:pPr>
      <w:r w:rsidRPr="00C5164C">
        <w:t>Developed ITA Agreement templates and Agency Involvement Matrix (see above).</w:t>
      </w:r>
    </w:p>
    <w:p w14:paraId="251C5E50" w14:textId="77777777" w:rsidR="00CB1C5D" w:rsidRPr="00C5164C" w:rsidRDefault="00CB1C5D" w:rsidP="00CB1C5D">
      <w:pPr>
        <w:pStyle w:val="NoSpacing"/>
        <w:numPr>
          <w:ilvl w:val="0"/>
          <w:numId w:val="3"/>
        </w:numPr>
      </w:pPr>
      <w:r w:rsidRPr="00C5164C">
        <w:t>Developed fiscal modeling for ITA’s (cost savings, reduction of denials, improved productivity)</w:t>
      </w:r>
    </w:p>
    <w:p w14:paraId="4C5AD796" w14:textId="77777777" w:rsidR="00CB1C5D" w:rsidRPr="00C5164C" w:rsidRDefault="00CB1C5D" w:rsidP="00CB1C5D">
      <w:pPr>
        <w:pStyle w:val="NoSpacing"/>
        <w:numPr>
          <w:ilvl w:val="0"/>
          <w:numId w:val="3"/>
        </w:numPr>
      </w:pPr>
      <w:r w:rsidRPr="00C5164C">
        <w:t>Presented to and discussed the project with the following agencies.</w:t>
      </w:r>
    </w:p>
    <w:p w14:paraId="540D7BFE" w14:textId="77777777" w:rsidR="00CB1C5D" w:rsidRPr="00C5164C" w:rsidRDefault="00CB1C5D" w:rsidP="00CB1C5D">
      <w:pPr>
        <w:pStyle w:val="NoSpacing"/>
        <w:numPr>
          <w:ilvl w:val="1"/>
          <w:numId w:val="3"/>
        </w:numPr>
      </w:pPr>
      <w:r w:rsidRPr="00C5164C">
        <w:t>Indiana VR</w:t>
      </w:r>
    </w:p>
    <w:p w14:paraId="245AABB2" w14:textId="77777777" w:rsidR="00CB1C5D" w:rsidRPr="00C5164C" w:rsidRDefault="00CB1C5D" w:rsidP="00CB1C5D">
      <w:pPr>
        <w:pStyle w:val="NoSpacing"/>
        <w:numPr>
          <w:ilvl w:val="1"/>
          <w:numId w:val="3"/>
        </w:numPr>
      </w:pPr>
      <w:r w:rsidRPr="00C5164C">
        <w:t xml:space="preserve">Montana VR </w:t>
      </w:r>
    </w:p>
    <w:p w14:paraId="45799F22" w14:textId="77777777" w:rsidR="00CB1C5D" w:rsidRPr="00C5164C" w:rsidRDefault="00CB1C5D" w:rsidP="00CB1C5D">
      <w:pPr>
        <w:pStyle w:val="NoSpacing"/>
        <w:numPr>
          <w:ilvl w:val="1"/>
          <w:numId w:val="3"/>
        </w:numPr>
      </w:pPr>
      <w:r w:rsidRPr="00C5164C">
        <w:t>Nevada VR</w:t>
      </w:r>
    </w:p>
    <w:p w14:paraId="65DAC287" w14:textId="77777777" w:rsidR="00CB1C5D" w:rsidRPr="00C5164C" w:rsidRDefault="00CB1C5D" w:rsidP="00CB1C5D">
      <w:pPr>
        <w:pStyle w:val="NoSpacing"/>
        <w:numPr>
          <w:ilvl w:val="1"/>
          <w:numId w:val="3"/>
        </w:numPr>
      </w:pPr>
      <w:r w:rsidRPr="00C5164C">
        <w:t>Texas VR</w:t>
      </w:r>
    </w:p>
    <w:p w14:paraId="14659375" w14:textId="77777777" w:rsidR="00CB1C5D" w:rsidRPr="00C5164C" w:rsidRDefault="00CB1C5D" w:rsidP="00CB1C5D">
      <w:pPr>
        <w:pStyle w:val="NoSpacing"/>
        <w:numPr>
          <w:ilvl w:val="1"/>
          <w:numId w:val="3"/>
        </w:numPr>
      </w:pPr>
      <w:r w:rsidRPr="00C5164C">
        <w:t>Virginia Blind VR</w:t>
      </w:r>
    </w:p>
    <w:p w14:paraId="17D69DE3" w14:textId="77777777" w:rsidR="00CB1C5D" w:rsidRPr="00C5164C" w:rsidRDefault="00CB1C5D" w:rsidP="00CB1C5D">
      <w:pPr>
        <w:pStyle w:val="NoSpacing"/>
        <w:numPr>
          <w:ilvl w:val="1"/>
          <w:numId w:val="3"/>
        </w:numPr>
      </w:pPr>
      <w:r w:rsidRPr="00C5164C">
        <w:t>Washington Blind VR</w:t>
      </w:r>
    </w:p>
    <w:p w14:paraId="1F73D1A7" w14:textId="77777777" w:rsidR="00CB1C5D" w:rsidRPr="00C5164C" w:rsidRDefault="00CB1C5D" w:rsidP="00CB1C5D">
      <w:pPr>
        <w:pStyle w:val="NoSpacing"/>
        <w:numPr>
          <w:ilvl w:val="1"/>
          <w:numId w:val="3"/>
        </w:numPr>
      </w:pPr>
      <w:r w:rsidRPr="00C5164C">
        <w:t>Wisconsin VR</w:t>
      </w:r>
    </w:p>
    <w:p w14:paraId="393EB262" w14:textId="77777777" w:rsidR="00CB1C5D" w:rsidRPr="00C5164C" w:rsidRDefault="00CB1C5D" w:rsidP="00CB1C5D">
      <w:pPr>
        <w:pStyle w:val="NoSpacing"/>
        <w:spacing w:before="120" w:after="120"/>
      </w:pPr>
      <w:r w:rsidRPr="00C5164C">
        <w:t>At this time, Montana VR has committed substantial time and resources to developing a potential ITA agreement.  We are hopeful to have a signed agreement in early 2022.</w:t>
      </w:r>
    </w:p>
    <w:p w14:paraId="354E34B7" w14:textId="77777777" w:rsidR="00CB1C5D" w:rsidRPr="00C5164C" w:rsidRDefault="00CB1C5D" w:rsidP="00CB1C5D">
      <w:pPr>
        <w:pStyle w:val="NoSpacing"/>
        <w:spacing w:before="120" w:after="120"/>
        <w:rPr>
          <w:u w:val="single"/>
        </w:rPr>
      </w:pPr>
      <w:r w:rsidRPr="00C5164C">
        <w:rPr>
          <w:u w:val="single"/>
        </w:rPr>
        <w:t>Targeted Technical Assistance Activities</w:t>
      </w:r>
    </w:p>
    <w:p w14:paraId="14492587" w14:textId="77777777" w:rsidR="00CB1C5D" w:rsidRPr="00C5164C" w:rsidRDefault="00CB1C5D" w:rsidP="00CB1C5D">
      <w:pPr>
        <w:pStyle w:val="NoSpacing"/>
        <w:spacing w:before="120" w:after="120"/>
      </w:pPr>
      <w:r w:rsidRPr="00C5164C">
        <w:t xml:space="preserve">During this year, SARA conducted the minimal TTA related activities.  Our TTA activities are conditioned upon intensive agreements and the creation of communities of practice around them.  We may need to re-evaluate this model moving forward. </w:t>
      </w:r>
    </w:p>
    <w:p w14:paraId="553165BD" w14:textId="77777777" w:rsidR="00CB1C5D" w:rsidRPr="00C5164C" w:rsidRDefault="00CB1C5D" w:rsidP="00CB1C5D">
      <w:pPr>
        <w:pStyle w:val="NoSpacing"/>
        <w:spacing w:before="120" w:after="120"/>
        <w:rPr>
          <w:u w:val="single"/>
        </w:rPr>
      </w:pPr>
      <w:r w:rsidRPr="00C5164C">
        <w:rPr>
          <w:u w:val="single"/>
        </w:rPr>
        <w:t>Universal Technical Assistance Activities</w:t>
      </w:r>
    </w:p>
    <w:p w14:paraId="6318D841" w14:textId="77777777" w:rsidR="00CB1C5D" w:rsidRPr="00C5164C" w:rsidRDefault="00CB1C5D" w:rsidP="00CB1C5D">
      <w:pPr>
        <w:pStyle w:val="NoSpacing"/>
        <w:spacing w:before="120" w:after="120"/>
      </w:pPr>
      <w:r w:rsidRPr="00C5164C">
        <w:lastRenderedPageBreak/>
        <w:t>In this year, SARA conducted the following UTA related activities:</w:t>
      </w:r>
    </w:p>
    <w:p w14:paraId="4B2D1239" w14:textId="77777777" w:rsidR="00CB1C5D" w:rsidRPr="00C5164C" w:rsidRDefault="00CB1C5D" w:rsidP="00CB1C5D">
      <w:pPr>
        <w:pStyle w:val="NoSpacing"/>
        <w:numPr>
          <w:ilvl w:val="0"/>
          <w:numId w:val="5"/>
        </w:numPr>
      </w:pPr>
      <w:r w:rsidRPr="00C5164C">
        <w:t xml:space="preserve">Established criteria for Universal Technical Assistance.  </w:t>
      </w:r>
    </w:p>
    <w:p w14:paraId="1B210208" w14:textId="77777777" w:rsidR="00CB1C5D" w:rsidRPr="00C5164C" w:rsidRDefault="00CB1C5D" w:rsidP="00CB1C5D">
      <w:pPr>
        <w:pStyle w:val="NoSpacing"/>
        <w:numPr>
          <w:ilvl w:val="0"/>
          <w:numId w:val="5"/>
        </w:numPr>
      </w:pPr>
      <w:r w:rsidRPr="00C5164C">
        <w:t>Met with Cornell Team to discuss obtaining UTA items, types of items, etc.</w:t>
      </w:r>
    </w:p>
    <w:p w14:paraId="5C57A0E8" w14:textId="77777777" w:rsidR="00CB1C5D" w:rsidRPr="00C5164C" w:rsidRDefault="00CB1C5D" w:rsidP="00CB1C5D">
      <w:pPr>
        <w:pStyle w:val="NoSpacing"/>
        <w:numPr>
          <w:ilvl w:val="0"/>
          <w:numId w:val="5"/>
        </w:numPr>
      </w:pPr>
      <w:r w:rsidRPr="00C5164C">
        <w:t xml:space="preserve">Review and development of a synopsis of </w:t>
      </w:r>
      <w:proofErr w:type="spellStart"/>
      <w:r w:rsidRPr="00C5164C">
        <w:t>Cognosante’s</w:t>
      </w:r>
      <w:proofErr w:type="spellEnd"/>
      <w:r w:rsidRPr="00C5164C">
        <w:t xml:space="preserve"> scope of work as the new Ticket to Work Manager. </w:t>
      </w:r>
    </w:p>
    <w:p w14:paraId="28C4C05F" w14:textId="77777777" w:rsidR="00CB1C5D" w:rsidRPr="00C5164C" w:rsidRDefault="00CB1C5D" w:rsidP="00CB1C5D">
      <w:pPr>
        <w:pStyle w:val="NoSpacing"/>
        <w:numPr>
          <w:ilvl w:val="0"/>
          <w:numId w:val="5"/>
        </w:numPr>
      </w:pPr>
      <w:r w:rsidRPr="00C5164C">
        <w:t>Created a rough draft of TTW Introductory Training.</w:t>
      </w:r>
    </w:p>
    <w:p w14:paraId="1F14B90E" w14:textId="77777777" w:rsidR="00CB1C5D" w:rsidRPr="00C5164C" w:rsidRDefault="00CB1C5D" w:rsidP="00CB1C5D">
      <w:pPr>
        <w:pStyle w:val="NoSpacing"/>
        <w:numPr>
          <w:ilvl w:val="0"/>
          <w:numId w:val="5"/>
        </w:numPr>
      </w:pPr>
      <w:r w:rsidRPr="00C5164C">
        <w:t>Created a list of links to TTW resources, which will be linked on the website when ready</w:t>
      </w:r>
    </w:p>
    <w:p w14:paraId="4FAFEAA1" w14:textId="72BB5EB7" w:rsidR="002F3FE4" w:rsidRPr="002F3FE4" w:rsidRDefault="002F3FE4" w:rsidP="00CB1C5D">
      <w:pPr>
        <w:pStyle w:val="Style1"/>
        <w:ind w:left="360"/>
      </w:pPr>
      <w:r w:rsidRPr="002F3FE4">
        <w:t xml:space="preserve"> </w:t>
      </w:r>
    </w:p>
    <w:p w14:paraId="1B82CEF6" w14:textId="77777777" w:rsidR="006E4029" w:rsidRDefault="006E4029">
      <w:pPr>
        <w:rPr>
          <w:b/>
          <w:sz w:val="28"/>
        </w:rPr>
      </w:pPr>
      <w:r>
        <w:br w:type="page"/>
      </w:r>
    </w:p>
    <w:p w14:paraId="2AC9009A" w14:textId="3D986C62" w:rsidR="00D015B0" w:rsidRDefault="002F3FE4" w:rsidP="00587DBA">
      <w:pPr>
        <w:pStyle w:val="Heading2"/>
        <w:spacing w:before="240" w:after="240"/>
      </w:pPr>
      <w:bookmarkStart w:id="26" w:name="_Toc92084385"/>
      <w:r>
        <w:lastRenderedPageBreak/>
        <w:t xml:space="preserve">Employment First </w:t>
      </w:r>
      <w:r w:rsidR="00587DBA">
        <w:t>Systems Change Project:</w:t>
      </w:r>
      <w:bookmarkEnd w:id="26"/>
    </w:p>
    <w:p w14:paraId="00857099" w14:textId="77777777" w:rsidR="005B20C5" w:rsidRPr="0009388D" w:rsidRDefault="005B20C5" w:rsidP="005B20C5">
      <w:r w:rsidRPr="0009388D">
        <w:t xml:space="preserve">In the first year of the VRTAC-QM, work on the Community Partnerships/Employment First Special Projects has focused </w:t>
      </w:r>
      <w:proofErr w:type="gramStart"/>
      <w:r w:rsidRPr="0009388D">
        <w:t>in</w:t>
      </w:r>
      <w:proofErr w:type="gramEnd"/>
      <w:r w:rsidRPr="0009388D">
        <w:t xml:space="preserve"> the following states/VR Agencies:</w:t>
      </w:r>
    </w:p>
    <w:p w14:paraId="1A3D56FB" w14:textId="77777777" w:rsidR="005B20C5" w:rsidRPr="0009388D" w:rsidRDefault="005B20C5" w:rsidP="005B20C5">
      <w:pPr>
        <w:pStyle w:val="ListParagraph"/>
        <w:numPr>
          <w:ilvl w:val="0"/>
          <w:numId w:val="33"/>
        </w:numPr>
        <w:spacing w:before="0" w:after="160"/>
      </w:pPr>
      <w:r w:rsidRPr="0009388D">
        <w:t xml:space="preserve">South Carolina-G: Work in this state has around assisting the agency in developing policy and procedures around Supported and Customized Employment. The focus in these areas is building partnerships with Education as well as the state agency serving the I/DD population. SC-G understands it must build these partnerships to build sustainable employment programs for individuals with the most significant. SC-G has been involved in quasi-legislative group of state agencies and education representatives. This effort has resulted in some training around Customized </w:t>
      </w:r>
      <w:proofErr w:type="gramStart"/>
      <w:r w:rsidRPr="0009388D">
        <w:t>Employment,</w:t>
      </w:r>
      <w:proofErr w:type="gramEnd"/>
      <w:r w:rsidRPr="0009388D">
        <w:t xml:space="preserve"> however, SC-G recognizes that they must take a leadership role. There is pending Employment First legislation at the state level, this will provide more clarity and direction for SC-G going forward. VRTAC-QM will assist SC-G in building those partnerships that lead to sustainable employment programs</w:t>
      </w:r>
    </w:p>
    <w:p w14:paraId="3E3E93E8" w14:textId="77777777" w:rsidR="005B20C5" w:rsidRPr="0009388D" w:rsidRDefault="005B20C5" w:rsidP="005B20C5">
      <w:pPr>
        <w:pStyle w:val="ListParagraph"/>
        <w:numPr>
          <w:ilvl w:val="0"/>
          <w:numId w:val="33"/>
        </w:numPr>
        <w:spacing w:before="0" w:after="160"/>
      </w:pPr>
      <w:r w:rsidRPr="0009388D">
        <w:t xml:space="preserve">Montana-C: </w:t>
      </w:r>
      <w:proofErr w:type="gramStart"/>
      <w:r w:rsidRPr="0009388D">
        <w:t>Similar to</w:t>
      </w:r>
      <w:proofErr w:type="gramEnd"/>
      <w:r w:rsidRPr="0009388D">
        <w:t xml:space="preserve"> SC-G MT-G anticipates pending state legislation formalizing an Employment First philosophy. At this time, MT-G is focused on fiscal and reporting compliance priorities listed on their Intensive TA agreement. It is anticipated that EF activities will ramp up significantly in 2022.</w:t>
      </w:r>
    </w:p>
    <w:p w14:paraId="01BCFD85" w14:textId="77777777" w:rsidR="005B20C5" w:rsidRPr="0009388D" w:rsidRDefault="005B20C5" w:rsidP="005B20C5">
      <w:r w:rsidRPr="0009388D">
        <w:t>Future Activities</w:t>
      </w:r>
    </w:p>
    <w:p w14:paraId="4A568506" w14:textId="77777777" w:rsidR="005B20C5" w:rsidRPr="0009388D" w:rsidRDefault="005B20C5" w:rsidP="005B20C5">
      <w:pPr>
        <w:pStyle w:val="ListParagraph"/>
        <w:numPr>
          <w:ilvl w:val="0"/>
          <w:numId w:val="34"/>
        </w:numPr>
        <w:spacing w:before="0" w:after="160"/>
      </w:pPr>
      <w:r w:rsidRPr="0009388D">
        <w:t xml:space="preserve">VRTAC-QM will partner the Colorado Office of Employment First (CO-OEF) in developing a ‘Roadmap’ for the development of Employment First programs. In addition, VRTAC-QM and CO-OEF will develop training materials that coincide with the </w:t>
      </w:r>
      <w:proofErr w:type="gramStart"/>
      <w:r w:rsidRPr="0009388D">
        <w:t>Roadmap</w:t>
      </w:r>
      <w:proofErr w:type="gramEnd"/>
      <w:r w:rsidRPr="0009388D">
        <w:t>.</w:t>
      </w:r>
    </w:p>
    <w:p w14:paraId="7880094F" w14:textId="202D73B3" w:rsidR="001126BD" w:rsidRPr="009B6FCE" w:rsidRDefault="005B20C5" w:rsidP="005B20C5">
      <w:pPr>
        <w:pStyle w:val="ListParagraph"/>
        <w:numPr>
          <w:ilvl w:val="0"/>
          <w:numId w:val="34"/>
        </w:numPr>
        <w:spacing w:before="0" w:after="160"/>
      </w:pPr>
      <w:r w:rsidRPr="0009388D">
        <w:t>In 2022 VRTAC-QM will increase efforts to identify VR agencies looking to build, develop, or expand their presence/leadership in Employment First Programs.</w:t>
      </w:r>
    </w:p>
    <w:p w14:paraId="3321BEA2" w14:textId="16084DEB" w:rsidR="009422A2" w:rsidRDefault="00000000" w:rsidP="00D015B0">
      <w:pPr>
        <w:pStyle w:val="Style1"/>
        <w:rPr>
          <w:b/>
        </w:rPr>
      </w:pPr>
      <w:r>
        <w:rPr>
          <w:b/>
        </w:rPr>
        <w:pict w14:anchorId="75B576CA">
          <v:rect id="_x0000_i1029" style="width:0;height:1.5pt" o:hralign="center" o:hrstd="t" o:hr="t" fillcolor="#a0a0a0" stroked="f"/>
        </w:pict>
      </w:r>
    </w:p>
    <w:p w14:paraId="57A1DFE0" w14:textId="700779E1" w:rsidR="007D3F23" w:rsidRDefault="007D3F23" w:rsidP="007D3F23">
      <w:pPr>
        <w:pStyle w:val="Heading2"/>
      </w:pPr>
      <w:bookmarkStart w:id="27" w:name="_Toc92084386"/>
      <w:r>
        <w:t xml:space="preserve">Part 2: Significant program outcomes </w:t>
      </w:r>
      <w:r w:rsidR="00871628">
        <w:t>for Year One</w:t>
      </w:r>
      <w:bookmarkEnd w:id="27"/>
    </w:p>
    <w:p w14:paraId="15F7E3F6" w14:textId="67936945" w:rsidR="007D3F23" w:rsidRDefault="00633039" w:rsidP="00D015B0">
      <w:pPr>
        <w:pStyle w:val="Style1"/>
      </w:pPr>
      <w:r>
        <w:t xml:space="preserve">Table </w:t>
      </w:r>
      <w:r w:rsidR="00871628">
        <w:t>8</w:t>
      </w:r>
      <w:r>
        <w:t xml:space="preserve"> contains the Year One work plan activities, </w:t>
      </w:r>
      <w:proofErr w:type="gramStart"/>
      <w:r>
        <w:t>outcomes</w:t>
      </w:r>
      <w:proofErr w:type="gramEnd"/>
      <w:r>
        <w:t xml:space="preserve"> and status as of </w:t>
      </w:r>
      <w:r w:rsidR="00871628">
        <w:t>September 30</w:t>
      </w:r>
      <w:r>
        <w:t xml:space="preserve">, 2021.  </w:t>
      </w:r>
    </w:p>
    <w:p w14:paraId="1D3A77C7" w14:textId="658204F3" w:rsidR="00871628" w:rsidRPr="00871628" w:rsidRDefault="00871628" w:rsidP="00D015B0">
      <w:pPr>
        <w:pStyle w:val="Style1"/>
        <w:rPr>
          <w:i/>
          <w:iCs/>
        </w:rPr>
      </w:pPr>
      <w:r>
        <w:t xml:space="preserve">Table 8: </w:t>
      </w:r>
      <w:r w:rsidRPr="00871628">
        <w:rPr>
          <w:i/>
          <w:iCs/>
        </w:rPr>
        <w:t>End of Year Report on Work Plan Progress</w:t>
      </w:r>
    </w:p>
    <w:tbl>
      <w:tblPr>
        <w:tblW w:w="9340" w:type="dxa"/>
        <w:tblLook w:val="04A0" w:firstRow="1" w:lastRow="0" w:firstColumn="1" w:lastColumn="0" w:noHBand="0" w:noVBand="1"/>
      </w:tblPr>
      <w:tblGrid>
        <w:gridCol w:w="3520"/>
        <w:gridCol w:w="3400"/>
        <w:gridCol w:w="2420"/>
      </w:tblGrid>
      <w:tr w:rsidR="00746661" w:rsidRPr="00746661" w14:paraId="43B3AD67" w14:textId="77777777" w:rsidTr="00746661">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C3B22D2" w14:textId="77777777" w:rsidR="00746661" w:rsidRPr="00746661" w:rsidRDefault="00746661" w:rsidP="00746661">
            <w:pPr>
              <w:spacing w:before="0" w:after="0" w:line="240" w:lineRule="auto"/>
              <w:jc w:val="center"/>
              <w:rPr>
                <w:rFonts w:eastAsia="Times New Roman"/>
                <w:b/>
                <w:bCs/>
                <w:color w:val="000000"/>
              </w:rPr>
            </w:pPr>
            <w:r w:rsidRPr="00746661">
              <w:rPr>
                <w:rFonts w:eastAsia="Times New Roman"/>
                <w:b/>
                <w:bCs/>
                <w:color w:val="000000"/>
              </w:rPr>
              <w:t>End of Year Annual Report on Work Plan Progress for Year One</w:t>
            </w:r>
          </w:p>
        </w:tc>
      </w:tr>
      <w:tr w:rsidR="00746661" w:rsidRPr="00746661" w14:paraId="084717EE" w14:textId="77777777" w:rsidTr="00746661">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5F101D76" w14:textId="77777777" w:rsidR="00746661" w:rsidRPr="00746661" w:rsidRDefault="00746661" w:rsidP="00746661">
            <w:pPr>
              <w:spacing w:before="0" w:after="0" w:line="240" w:lineRule="auto"/>
              <w:rPr>
                <w:rFonts w:eastAsia="Times New Roman"/>
                <w:b/>
                <w:bCs/>
                <w:color w:val="000000"/>
              </w:rPr>
            </w:pPr>
            <w:r w:rsidRPr="00746661">
              <w:rPr>
                <w:rFonts w:eastAsia="Times New Roman"/>
                <w:b/>
                <w:bCs/>
                <w:color w:val="000000"/>
              </w:rPr>
              <w:t>Domain: Knowledge Development</w:t>
            </w:r>
          </w:p>
        </w:tc>
      </w:tr>
      <w:tr w:rsidR="00746661" w:rsidRPr="00746661" w14:paraId="29BF6A18" w14:textId="77777777" w:rsidTr="00746661">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2A6DB3B1"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4D9369E9"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2B52FCF7"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Status</w:t>
            </w:r>
          </w:p>
        </w:tc>
      </w:tr>
      <w:tr w:rsidR="00746661" w:rsidRPr="00746661" w14:paraId="12B9207B"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F55F6C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Develop the Cooperative Agreement with RSA</w:t>
            </w:r>
          </w:p>
        </w:tc>
        <w:tc>
          <w:tcPr>
            <w:tcW w:w="3400" w:type="dxa"/>
            <w:tcBorders>
              <w:top w:val="nil"/>
              <w:left w:val="nil"/>
              <w:bottom w:val="single" w:sz="4" w:space="0" w:color="auto"/>
              <w:right w:val="single" w:sz="4" w:space="0" w:color="auto"/>
            </w:tcBorders>
            <w:shd w:val="clear" w:color="auto" w:fill="auto"/>
            <w:vAlign w:val="center"/>
            <w:hideMark/>
          </w:tcPr>
          <w:p w14:paraId="0FEA1FB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Completed Cooperative Agreement</w:t>
            </w:r>
          </w:p>
        </w:tc>
        <w:tc>
          <w:tcPr>
            <w:tcW w:w="2420" w:type="dxa"/>
            <w:tcBorders>
              <w:top w:val="nil"/>
              <w:left w:val="nil"/>
              <w:bottom w:val="single" w:sz="4" w:space="0" w:color="auto"/>
              <w:right w:val="single" w:sz="4" w:space="0" w:color="auto"/>
            </w:tcBorders>
            <w:shd w:val="clear" w:color="auto" w:fill="auto"/>
            <w:vAlign w:val="center"/>
            <w:hideMark/>
          </w:tcPr>
          <w:p w14:paraId="23D08CE0"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3CCBA1D4" w14:textId="77777777" w:rsidTr="00746661">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31FBD83"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 xml:space="preserve">Establish website </w:t>
            </w:r>
          </w:p>
        </w:tc>
        <w:tc>
          <w:tcPr>
            <w:tcW w:w="3400" w:type="dxa"/>
            <w:tcBorders>
              <w:top w:val="nil"/>
              <w:left w:val="nil"/>
              <w:bottom w:val="single" w:sz="4" w:space="0" w:color="auto"/>
              <w:right w:val="single" w:sz="4" w:space="0" w:color="auto"/>
            </w:tcBorders>
            <w:shd w:val="clear" w:color="auto" w:fill="auto"/>
            <w:vAlign w:val="center"/>
            <w:hideMark/>
          </w:tcPr>
          <w:p w14:paraId="53B63895"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Website launched</w:t>
            </w:r>
          </w:p>
        </w:tc>
        <w:tc>
          <w:tcPr>
            <w:tcW w:w="2420" w:type="dxa"/>
            <w:tcBorders>
              <w:top w:val="nil"/>
              <w:left w:val="nil"/>
              <w:bottom w:val="single" w:sz="4" w:space="0" w:color="auto"/>
              <w:right w:val="single" w:sz="4" w:space="0" w:color="auto"/>
            </w:tcBorders>
            <w:shd w:val="clear" w:color="auto" w:fill="auto"/>
            <w:vAlign w:val="center"/>
            <w:hideMark/>
          </w:tcPr>
          <w:p w14:paraId="10A59ED9"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4029E089" w14:textId="77777777" w:rsidTr="00746661">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B0C284A"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Establish VR Wellness Check Tool</w:t>
            </w:r>
          </w:p>
        </w:tc>
        <w:tc>
          <w:tcPr>
            <w:tcW w:w="3400" w:type="dxa"/>
            <w:tcBorders>
              <w:top w:val="nil"/>
              <w:left w:val="nil"/>
              <w:bottom w:val="single" w:sz="4" w:space="0" w:color="auto"/>
              <w:right w:val="single" w:sz="4" w:space="0" w:color="auto"/>
            </w:tcBorders>
            <w:shd w:val="clear" w:color="auto" w:fill="auto"/>
            <w:vAlign w:val="center"/>
            <w:hideMark/>
          </w:tcPr>
          <w:p w14:paraId="4C729CC3"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Benchmark-QM complete</w:t>
            </w:r>
          </w:p>
        </w:tc>
        <w:tc>
          <w:tcPr>
            <w:tcW w:w="2420" w:type="dxa"/>
            <w:tcBorders>
              <w:top w:val="nil"/>
              <w:left w:val="nil"/>
              <w:bottom w:val="single" w:sz="4" w:space="0" w:color="auto"/>
              <w:right w:val="single" w:sz="4" w:space="0" w:color="auto"/>
            </w:tcBorders>
            <w:shd w:val="clear" w:color="auto" w:fill="auto"/>
            <w:vAlign w:val="center"/>
            <w:hideMark/>
          </w:tcPr>
          <w:p w14:paraId="63F4C4AC"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in-progress</w:t>
            </w:r>
          </w:p>
        </w:tc>
      </w:tr>
      <w:tr w:rsidR="00903059" w:rsidRPr="00746661" w14:paraId="1156DB05" w14:textId="77777777" w:rsidTr="00971531">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7E9C96E5" w14:textId="77777777" w:rsidR="00903059" w:rsidRPr="00746661" w:rsidRDefault="00903059" w:rsidP="00971531">
            <w:pPr>
              <w:spacing w:before="0" w:after="0" w:line="240" w:lineRule="auto"/>
              <w:jc w:val="center"/>
              <w:rPr>
                <w:rFonts w:eastAsia="Times New Roman"/>
                <w:b/>
                <w:bCs/>
                <w:color w:val="FFFFFF"/>
              </w:rPr>
            </w:pPr>
            <w:r w:rsidRPr="00746661">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5855D2D7" w14:textId="77777777" w:rsidR="00903059" w:rsidRPr="00746661" w:rsidRDefault="00903059" w:rsidP="00971531">
            <w:pPr>
              <w:spacing w:before="0" w:after="0" w:line="240" w:lineRule="auto"/>
              <w:jc w:val="center"/>
              <w:rPr>
                <w:rFonts w:eastAsia="Times New Roman"/>
                <w:b/>
                <w:bCs/>
                <w:color w:val="FFFFFF"/>
              </w:rPr>
            </w:pPr>
            <w:r w:rsidRPr="00746661">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6F86617D" w14:textId="77777777" w:rsidR="00903059" w:rsidRPr="00746661" w:rsidRDefault="00903059" w:rsidP="00971531">
            <w:pPr>
              <w:spacing w:before="0" w:after="0" w:line="240" w:lineRule="auto"/>
              <w:jc w:val="center"/>
              <w:rPr>
                <w:rFonts w:eastAsia="Times New Roman"/>
                <w:b/>
                <w:bCs/>
                <w:color w:val="FFFFFF"/>
              </w:rPr>
            </w:pPr>
            <w:r w:rsidRPr="00746661">
              <w:rPr>
                <w:rFonts w:eastAsia="Times New Roman"/>
                <w:b/>
                <w:bCs/>
                <w:color w:val="FFFFFF"/>
              </w:rPr>
              <w:t>Status</w:t>
            </w:r>
          </w:p>
        </w:tc>
      </w:tr>
      <w:tr w:rsidR="00746661" w:rsidRPr="00746661" w14:paraId="0B312C9C"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197D0B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Survey all SVRAs on QM needs and priorities</w:t>
            </w:r>
          </w:p>
        </w:tc>
        <w:tc>
          <w:tcPr>
            <w:tcW w:w="3400" w:type="dxa"/>
            <w:tcBorders>
              <w:top w:val="nil"/>
              <w:left w:val="nil"/>
              <w:bottom w:val="single" w:sz="4" w:space="0" w:color="auto"/>
              <w:right w:val="single" w:sz="4" w:space="0" w:color="auto"/>
            </w:tcBorders>
            <w:shd w:val="clear" w:color="auto" w:fill="auto"/>
            <w:vAlign w:val="center"/>
            <w:hideMark/>
          </w:tcPr>
          <w:p w14:paraId="582FF538"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Survey completed</w:t>
            </w:r>
          </w:p>
        </w:tc>
        <w:tc>
          <w:tcPr>
            <w:tcW w:w="2420" w:type="dxa"/>
            <w:tcBorders>
              <w:top w:val="nil"/>
              <w:left w:val="nil"/>
              <w:bottom w:val="single" w:sz="4" w:space="0" w:color="auto"/>
              <w:right w:val="single" w:sz="4" w:space="0" w:color="auto"/>
            </w:tcBorders>
            <w:shd w:val="clear" w:color="auto" w:fill="auto"/>
            <w:vAlign w:val="center"/>
            <w:hideMark/>
          </w:tcPr>
          <w:p w14:paraId="42DF4A46"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7480A5AB" w14:textId="77777777" w:rsidTr="00746661">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8891397"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 xml:space="preserve">Comprehensive Review of quality management program and fiscal strategies and practices </w:t>
            </w:r>
          </w:p>
        </w:tc>
        <w:tc>
          <w:tcPr>
            <w:tcW w:w="3400" w:type="dxa"/>
            <w:tcBorders>
              <w:top w:val="nil"/>
              <w:left w:val="nil"/>
              <w:bottom w:val="single" w:sz="4" w:space="0" w:color="auto"/>
              <w:right w:val="single" w:sz="4" w:space="0" w:color="auto"/>
            </w:tcBorders>
            <w:shd w:val="clear" w:color="auto" w:fill="auto"/>
            <w:vAlign w:val="center"/>
            <w:hideMark/>
          </w:tcPr>
          <w:p w14:paraId="3DC18D87"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Completed review</w:t>
            </w:r>
          </w:p>
        </w:tc>
        <w:tc>
          <w:tcPr>
            <w:tcW w:w="2420" w:type="dxa"/>
            <w:tcBorders>
              <w:top w:val="nil"/>
              <w:left w:val="nil"/>
              <w:bottom w:val="single" w:sz="4" w:space="0" w:color="auto"/>
              <w:right w:val="single" w:sz="4" w:space="0" w:color="auto"/>
            </w:tcBorders>
            <w:shd w:val="clear" w:color="auto" w:fill="auto"/>
            <w:vAlign w:val="center"/>
            <w:hideMark/>
          </w:tcPr>
          <w:p w14:paraId="455F4FAE"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1D41B6E1" w14:textId="77777777" w:rsidTr="00746661">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6607AB3"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lastRenderedPageBreak/>
              <w:t>Identify gold standard benchmarks for the VR Wellness Check using analytical framework and selection criteria</w:t>
            </w:r>
          </w:p>
        </w:tc>
        <w:tc>
          <w:tcPr>
            <w:tcW w:w="3400" w:type="dxa"/>
            <w:tcBorders>
              <w:top w:val="nil"/>
              <w:left w:val="nil"/>
              <w:bottom w:val="single" w:sz="4" w:space="0" w:color="auto"/>
              <w:right w:val="single" w:sz="4" w:space="0" w:color="auto"/>
            </w:tcBorders>
            <w:shd w:val="clear" w:color="auto" w:fill="auto"/>
            <w:vAlign w:val="center"/>
            <w:hideMark/>
          </w:tcPr>
          <w:p w14:paraId="3E4FD5F5"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Benchmarks identified and populated in Benchmark-QM</w:t>
            </w:r>
          </w:p>
        </w:tc>
        <w:tc>
          <w:tcPr>
            <w:tcW w:w="2420" w:type="dxa"/>
            <w:tcBorders>
              <w:top w:val="nil"/>
              <w:left w:val="nil"/>
              <w:bottom w:val="single" w:sz="4" w:space="0" w:color="auto"/>
              <w:right w:val="single" w:sz="4" w:space="0" w:color="auto"/>
            </w:tcBorders>
            <w:shd w:val="clear" w:color="auto" w:fill="auto"/>
            <w:vAlign w:val="center"/>
            <w:hideMark/>
          </w:tcPr>
          <w:p w14:paraId="17CFE2E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in-progress</w:t>
            </w:r>
          </w:p>
        </w:tc>
      </w:tr>
      <w:tr w:rsidR="00746661" w:rsidRPr="00746661" w14:paraId="26E35C78" w14:textId="77777777" w:rsidTr="00746661">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7D119739" w14:textId="77777777" w:rsidR="00746661" w:rsidRPr="00746661" w:rsidRDefault="00746661" w:rsidP="00746661">
            <w:pPr>
              <w:spacing w:before="0" w:after="0" w:line="240" w:lineRule="auto"/>
              <w:rPr>
                <w:rFonts w:eastAsia="Times New Roman"/>
                <w:b/>
                <w:bCs/>
                <w:color w:val="000000"/>
              </w:rPr>
            </w:pPr>
            <w:r w:rsidRPr="00746661">
              <w:rPr>
                <w:rFonts w:eastAsia="Times New Roman"/>
                <w:b/>
                <w:bCs/>
                <w:color w:val="000000"/>
              </w:rPr>
              <w:t>Domain: TA and Training</w:t>
            </w:r>
          </w:p>
        </w:tc>
      </w:tr>
      <w:tr w:rsidR="00746661" w:rsidRPr="00746661" w14:paraId="27BD90A2" w14:textId="77777777" w:rsidTr="00746661">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7B5F3DAF"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0FCE5777"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79FE317D"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Status</w:t>
            </w:r>
          </w:p>
        </w:tc>
      </w:tr>
      <w:tr w:rsidR="00746661" w:rsidRPr="00746661" w14:paraId="39FAA6C3" w14:textId="77777777" w:rsidTr="00746661">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E625305"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Management Concepts grants management training available to all SVRAs</w:t>
            </w:r>
          </w:p>
        </w:tc>
        <w:tc>
          <w:tcPr>
            <w:tcW w:w="3400" w:type="dxa"/>
            <w:tcBorders>
              <w:top w:val="nil"/>
              <w:left w:val="nil"/>
              <w:bottom w:val="single" w:sz="4" w:space="0" w:color="auto"/>
              <w:right w:val="single" w:sz="4" w:space="0" w:color="auto"/>
            </w:tcBorders>
            <w:shd w:val="clear" w:color="auto" w:fill="auto"/>
            <w:vAlign w:val="center"/>
            <w:hideMark/>
          </w:tcPr>
          <w:p w14:paraId="0D17BB30"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Training is available through the VRTAC-QM website</w:t>
            </w:r>
          </w:p>
        </w:tc>
        <w:tc>
          <w:tcPr>
            <w:tcW w:w="2420" w:type="dxa"/>
            <w:tcBorders>
              <w:top w:val="nil"/>
              <w:left w:val="nil"/>
              <w:bottom w:val="single" w:sz="4" w:space="0" w:color="auto"/>
              <w:right w:val="single" w:sz="4" w:space="0" w:color="auto"/>
            </w:tcBorders>
            <w:shd w:val="clear" w:color="auto" w:fill="auto"/>
            <w:vAlign w:val="center"/>
            <w:hideMark/>
          </w:tcPr>
          <w:p w14:paraId="6274E824"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in-progress</w:t>
            </w:r>
          </w:p>
        </w:tc>
      </w:tr>
      <w:tr w:rsidR="00746661" w:rsidRPr="00746661" w14:paraId="1E0A8D61" w14:textId="77777777" w:rsidTr="00746661">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FDC6014"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QM seminar series training provided for varying levels of managers in the VR program</w:t>
            </w:r>
          </w:p>
        </w:tc>
        <w:tc>
          <w:tcPr>
            <w:tcW w:w="3400" w:type="dxa"/>
            <w:tcBorders>
              <w:top w:val="nil"/>
              <w:left w:val="nil"/>
              <w:bottom w:val="single" w:sz="4" w:space="0" w:color="auto"/>
              <w:right w:val="single" w:sz="4" w:space="0" w:color="auto"/>
            </w:tcBorders>
            <w:shd w:val="clear" w:color="auto" w:fill="auto"/>
            <w:vAlign w:val="center"/>
            <w:hideMark/>
          </w:tcPr>
          <w:p w14:paraId="245EC5EB"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Leadership training established</w:t>
            </w:r>
          </w:p>
        </w:tc>
        <w:tc>
          <w:tcPr>
            <w:tcW w:w="2420" w:type="dxa"/>
            <w:tcBorders>
              <w:top w:val="nil"/>
              <w:left w:val="nil"/>
              <w:bottom w:val="single" w:sz="4" w:space="0" w:color="auto"/>
              <w:right w:val="single" w:sz="4" w:space="0" w:color="auto"/>
            </w:tcBorders>
            <w:shd w:val="clear" w:color="auto" w:fill="auto"/>
            <w:vAlign w:val="center"/>
            <w:hideMark/>
          </w:tcPr>
          <w:p w14:paraId="62DB9C5D"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155C664C" w14:textId="77777777" w:rsidTr="00746661">
        <w:trPr>
          <w:trHeight w:val="21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5DE83CE"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Targeted and universal TA is provided to SVRAs on quality program and fiscal management</w:t>
            </w:r>
          </w:p>
        </w:tc>
        <w:tc>
          <w:tcPr>
            <w:tcW w:w="3400" w:type="dxa"/>
            <w:tcBorders>
              <w:top w:val="nil"/>
              <w:left w:val="nil"/>
              <w:bottom w:val="single" w:sz="4" w:space="0" w:color="auto"/>
              <w:right w:val="single" w:sz="4" w:space="0" w:color="auto"/>
            </w:tcBorders>
            <w:shd w:val="clear" w:color="auto" w:fill="auto"/>
            <w:vAlign w:val="center"/>
            <w:hideMark/>
          </w:tcPr>
          <w:p w14:paraId="147326D8"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Delivery of TA using website and other methods</w:t>
            </w:r>
          </w:p>
        </w:tc>
        <w:tc>
          <w:tcPr>
            <w:tcW w:w="2420" w:type="dxa"/>
            <w:tcBorders>
              <w:top w:val="nil"/>
              <w:left w:val="nil"/>
              <w:bottom w:val="single" w:sz="4" w:space="0" w:color="auto"/>
              <w:right w:val="single" w:sz="4" w:space="0" w:color="auto"/>
            </w:tcBorders>
            <w:shd w:val="clear" w:color="auto" w:fill="auto"/>
            <w:vAlign w:val="center"/>
            <w:hideMark/>
          </w:tcPr>
          <w:p w14:paraId="20A5D801"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Continuous- Targeted TA provided to 3,138 VR staff in 358 events. More than 10,000 accessed some form of universal TA (website and webinars)</w:t>
            </w:r>
          </w:p>
        </w:tc>
      </w:tr>
      <w:tr w:rsidR="00746661" w:rsidRPr="00746661" w14:paraId="15864BF7"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CD3379"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Establish CoPs in quality program and fiscal mgmt.</w:t>
            </w:r>
          </w:p>
        </w:tc>
        <w:tc>
          <w:tcPr>
            <w:tcW w:w="3400" w:type="dxa"/>
            <w:tcBorders>
              <w:top w:val="nil"/>
              <w:left w:val="nil"/>
              <w:bottom w:val="single" w:sz="4" w:space="0" w:color="auto"/>
              <w:right w:val="single" w:sz="4" w:space="0" w:color="auto"/>
            </w:tcBorders>
            <w:shd w:val="clear" w:color="auto" w:fill="auto"/>
            <w:vAlign w:val="center"/>
            <w:hideMark/>
          </w:tcPr>
          <w:p w14:paraId="1F3C75D6"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CoPs established and meeting</w:t>
            </w:r>
          </w:p>
        </w:tc>
        <w:tc>
          <w:tcPr>
            <w:tcW w:w="2420" w:type="dxa"/>
            <w:tcBorders>
              <w:top w:val="nil"/>
              <w:left w:val="nil"/>
              <w:bottom w:val="single" w:sz="4" w:space="0" w:color="auto"/>
              <w:right w:val="single" w:sz="4" w:space="0" w:color="auto"/>
            </w:tcBorders>
            <w:shd w:val="clear" w:color="auto" w:fill="auto"/>
            <w:vAlign w:val="center"/>
            <w:hideMark/>
          </w:tcPr>
          <w:p w14:paraId="6D815427"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Continuous - 3 CoPs in Year One active</w:t>
            </w:r>
          </w:p>
        </w:tc>
      </w:tr>
      <w:tr w:rsidR="00746661" w:rsidRPr="00746661" w14:paraId="39F7B372" w14:textId="77777777" w:rsidTr="00746661">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C1CF681"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Provide intensive TA and training on quality program and fiscal management</w:t>
            </w:r>
          </w:p>
        </w:tc>
        <w:tc>
          <w:tcPr>
            <w:tcW w:w="3400" w:type="dxa"/>
            <w:tcBorders>
              <w:top w:val="nil"/>
              <w:left w:val="nil"/>
              <w:bottom w:val="single" w:sz="4" w:space="0" w:color="auto"/>
              <w:right w:val="single" w:sz="4" w:space="0" w:color="auto"/>
            </w:tcBorders>
            <w:shd w:val="clear" w:color="auto" w:fill="auto"/>
            <w:vAlign w:val="center"/>
            <w:hideMark/>
          </w:tcPr>
          <w:p w14:paraId="5E29A068"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SWOT analysis and ITAA completed for each SVRA</w:t>
            </w:r>
          </w:p>
        </w:tc>
        <w:tc>
          <w:tcPr>
            <w:tcW w:w="2420" w:type="dxa"/>
            <w:tcBorders>
              <w:top w:val="nil"/>
              <w:left w:val="nil"/>
              <w:bottom w:val="single" w:sz="4" w:space="0" w:color="auto"/>
              <w:right w:val="single" w:sz="4" w:space="0" w:color="auto"/>
            </w:tcBorders>
            <w:shd w:val="clear" w:color="auto" w:fill="auto"/>
            <w:vAlign w:val="center"/>
            <w:hideMark/>
          </w:tcPr>
          <w:p w14:paraId="7DFBA50C"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4 ITAAs completed and 8 SWOTs completed in Year One</w:t>
            </w:r>
          </w:p>
        </w:tc>
      </w:tr>
      <w:tr w:rsidR="00746661" w:rsidRPr="00746661" w14:paraId="1C0F2E31"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EAC0071" w14:textId="58FEF343" w:rsidR="00746661" w:rsidRPr="00746661" w:rsidRDefault="00746661" w:rsidP="00746661">
            <w:pPr>
              <w:spacing w:before="0" w:after="0" w:line="240" w:lineRule="auto"/>
              <w:rPr>
                <w:rFonts w:eastAsia="Times New Roman"/>
                <w:color w:val="000000"/>
              </w:rPr>
            </w:pPr>
            <w:r w:rsidRPr="00746661">
              <w:rPr>
                <w:rFonts w:eastAsia="Times New Roman"/>
                <w:color w:val="000000"/>
              </w:rPr>
              <w:t>Conduct the SARA SSA re</w:t>
            </w:r>
            <w:r>
              <w:rPr>
                <w:rFonts w:eastAsia="Times New Roman"/>
                <w:color w:val="000000"/>
              </w:rPr>
              <w:t>i</w:t>
            </w:r>
            <w:r w:rsidRPr="00746661">
              <w:rPr>
                <w:rFonts w:eastAsia="Times New Roman"/>
                <w:color w:val="000000"/>
              </w:rPr>
              <w:t>mbursement pilot projects</w:t>
            </w:r>
          </w:p>
        </w:tc>
        <w:tc>
          <w:tcPr>
            <w:tcW w:w="3400" w:type="dxa"/>
            <w:tcBorders>
              <w:top w:val="nil"/>
              <w:left w:val="nil"/>
              <w:bottom w:val="single" w:sz="4" w:space="0" w:color="auto"/>
              <w:right w:val="single" w:sz="4" w:space="0" w:color="auto"/>
            </w:tcBorders>
            <w:shd w:val="clear" w:color="auto" w:fill="auto"/>
            <w:vAlign w:val="center"/>
            <w:hideMark/>
          </w:tcPr>
          <w:p w14:paraId="5799DBB2"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448E2430"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2 agencies in progress</w:t>
            </w:r>
          </w:p>
        </w:tc>
      </w:tr>
      <w:tr w:rsidR="00746661" w:rsidRPr="00746661" w14:paraId="79A9D32A"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D6BBEBB"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Conduct the CRA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7980D6DC"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5EBFA856"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Delayed</w:t>
            </w:r>
          </w:p>
        </w:tc>
      </w:tr>
      <w:tr w:rsidR="00746661" w:rsidRPr="00746661" w14:paraId="2204BC00"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316EFFE"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Conduct the EFSC pilot projects in 4 States</w:t>
            </w:r>
          </w:p>
        </w:tc>
        <w:tc>
          <w:tcPr>
            <w:tcW w:w="3400" w:type="dxa"/>
            <w:tcBorders>
              <w:top w:val="nil"/>
              <w:left w:val="nil"/>
              <w:bottom w:val="single" w:sz="4" w:space="0" w:color="auto"/>
              <w:right w:val="single" w:sz="4" w:space="0" w:color="auto"/>
            </w:tcBorders>
            <w:shd w:val="clear" w:color="auto" w:fill="auto"/>
            <w:vAlign w:val="center"/>
            <w:hideMark/>
          </w:tcPr>
          <w:p w14:paraId="22018EF5"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Pilot started in 4 SVRAs</w:t>
            </w:r>
          </w:p>
        </w:tc>
        <w:tc>
          <w:tcPr>
            <w:tcW w:w="2420" w:type="dxa"/>
            <w:tcBorders>
              <w:top w:val="nil"/>
              <w:left w:val="nil"/>
              <w:bottom w:val="single" w:sz="4" w:space="0" w:color="auto"/>
              <w:right w:val="single" w:sz="4" w:space="0" w:color="auto"/>
            </w:tcBorders>
            <w:shd w:val="clear" w:color="auto" w:fill="auto"/>
            <w:vAlign w:val="center"/>
            <w:hideMark/>
          </w:tcPr>
          <w:p w14:paraId="30D622E0"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2 Agencies identified and working</w:t>
            </w:r>
          </w:p>
        </w:tc>
      </w:tr>
      <w:tr w:rsidR="00746661" w:rsidRPr="00746661" w14:paraId="4C611F81" w14:textId="77777777" w:rsidTr="00746661">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2AAD1090" w14:textId="77777777" w:rsidR="00746661" w:rsidRPr="00746661" w:rsidRDefault="00746661" w:rsidP="00746661">
            <w:pPr>
              <w:spacing w:before="0" w:after="0" w:line="240" w:lineRule="auto"/>
              <w:rPr>
                <w:rFonts w:eastAsia="Times New Roman"/>
                <w:b/>
                <w:bCs/>
                <w:color w:val="000000"/>
              </w:rPr>
            </w:pPr>
            <w:r w:rsidRPr="00746661">
              <w:rPr>
                <w:rFonts w:eastAsia="Times New Roman"/>
                <w:b/>
                <w:bCs/>
                <w:color w:val="000000"/>
              </w:rPr>
              <w:t>Domain: Coordination and Dissemination</w:t>
            </w:r>
          </w:p>
        </w:tc>
      </w:tr>
      <w:tr w:rsidR="00746661" w:rsidRPr="00746661" w14:paraId="0521A79F" w14:textId="77777777" w:rsidTr="00746661">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450284BC"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0CAAF738"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15DAC76F"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Status</w:t>
            </w:r>
          </w:p>
        </w:tc>
      </w:tr>
      <w:tr w:rsidR="00746661" w:rsidRPr="00746661" w14:paraId="6BC79FA3" w14:textId="77777777" w:rsidTr="00746661">
        <w:trPr>
          <w:trHeight w:val="31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7283E5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Establish QM committee</w:t>
            </w:r>
          </w:p>
        </w:tc>
        <w:tc>
          <w:tcPr>
            <w:tcW w:w="3400" w:type="dxa"/>
            <w:tcBorders>
              <w:top w:val="nil"/>
              <w:left w:val="nil"/>
              <w:bottom w:val="single" w:sz="4" w:space="0" w:color="auto"/>
              <w:right w:val="single" w:sz="4" w:space="0" w:color="auto"/>
            </w:tcBorders>
            <w:shd w:val="clear" w:color="auto" w:fill="auto"/>
            <w:vAlign w:val="center"/>
            <w:hideMark/>
          </w:tcPr>
          <w:p w14:paraId="5DEDCAE1"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Committee est. and meeting</w:t>
            </w:r>
          </w:p>
        </w:tc>
        <w:tc>
          <w:tcPr>
            <w:tcW w:w="2420" w:type="dxa"/>
            <w:tcBorders>
              <w:top w:val="nil"/>
              <w:left w:val="nil"/>
              <w:bottom w:val="single" w:sz="4" w:space="0" w:color="auto"/>
              <w:right w:val="single" w:sz="4" w:space="0" w:color="auto"/>
            </w:tcBorders>
            <w:shd w:val="clear" w:color="auto" w:fill="auto"/>
            <w:vAlign w:val="center"/>
            <w:hideMark/>
          </w:tcPr>
          <w:p w14:paraId="068D0A0F"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w:t>
            </w:r>
          </w:p>
        </w:tc>
      </w:tr>
      <w:tr w:rsidR="00746661" w:rsidRPr="00746661" w14:paraId="596EF6D8" w14:textId="77777777" w:rsidTr="00746661">
        <w:trPr>
          <w:trHeight w:val="9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4442746"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Collaborate with VRTAC-QE and other TACs to support learning and KD and KT.</w:t>
            </w:r>
          </w:p>
        </w:tc>
        <w:tc>
          <w:tcPr>
            <w:tcW w:w="3400" w:type="dxa"/>
            <w:tcBorders>
              <w:top w:val="nil"/>
              <w:left w:val="nil"/>
              <w:bottom w:val="single" w:sz="4" w:space="0" w:color="auto"/>
              <w:right w:val="single" w:sz="4" w:space="0" w:color="auto"/>
            </w:tcBorders>
            <w:shd w:val="clear" w:color="auto" w:fill="auto"/>
            <w:vAlign w:val="center"/>
            <w:hideMark/>
          </w:tcPr>
          <w:p w14:paraId="25A39A66"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 xml:space="preserve">Number </w:t>
            </w:r>
            <w:proofErr w:type="gramStart"/>
            <w:r w:rsidRPr="00746661">
              <w:rPr>
                <w:rFonts w:eastAsia="Times New Roman"/>
                <w:color w:val="000000"/>
              </w:rPr>
              <w:t>of  TACs</w:t>
            </w:r>
            <w:proofErr w:type="gramEnd"/>
            <w:r w:rsidRPr="00746661">
              <w:rPr>
                <w:rFonts w:eastAsia="Times New Roman"/>
                <w:color w:val="000000"/>
              </w:rPr>
              <w:t xml:space="preserve"> and other projects contacted and engaged</w:t>
            </w:r>
          </w:p>
        </w:tc>
        <w:tc>
          <w:tcPr>
            <w:tcW w:w="2420" w:type="dxa"/>
            <w:tcBorders>
              <w:top w:val="nil"/>
              <w:left w:val="nil"/>
              <w:bottom w:val="single" w:sz="4" w:space="0" w:color="auto"/>
              <w:right w:val="single" w:sz="4" w:space="0" w:color="auto"/>
            </w:tcBorders>
            <w:shd w:val="clear" w:color="auto" w:fill="auto"/>
            <w:vAlign w:val="center"/>
            <w:hideMark/>
          </w:tcPr>
          <w:p w14:paraId="1066F919"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Continuous</w:t>
            </w:r>
          </w:p>
        </w:tc>
      </w:tr>
      <w:tr w:rsidR="00746661" w:rsidRPr="00746661" w14:paraId="2C9582B8" w14:textId="77777777" w:rsidTr="00746661">
        <w:trPr>
          <w:trHeight w:val="124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100903E"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Conference presentations with special focus on Y5</w:t>
            </w:r>
          </w:p>
        </w:tc>
        <w:tc>
          <w:tcPr>
            <w:tcW w:w="3400" w:type="dxa"/>
            <w:tcBorders>
              <w:top w:val="nil"/>
              <w:left w:val="nil"/>
              <w:bottom w:val="single" w:sz="4" w:space="0" w:color="auto"/>
              <w:right w:val="single" w:sz="4" w:space="0" w:color="auto"/>
            </w:tcBorders>
            <w:shd w:val="clear" w:color="auto" w:fill="auto"/>
            <w:vAlign w:val="center"/>
            <w:hideMark/>
          </w:tcPr>
          <w:p w14:paraId="5DAA50D8"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Completed presentations</w:t>
            </w:r>
          </w:p>
        </w:tc>
        <w:tc>
          <w:tcPr>
            <w:tcW w:w="2420" w:type="dxa"/>
            <w:tcBorders>
              <w:top w:val="nil"/>
              <w:left w:val="nil"/>
              <w:bottom w:val="single" w:sz="4" w:space="0" w:color="auto"/>
              <w:right w:val="single" w:sz="4" w:space="0" w:color="auto"/>
            </w:tcBorders>
            <w:shd w:val="clear" w:color="auto" w:fill="auto"/>
            <w:vAlign w:val="center"/>
            <w:hideMark/>
          </w:tcPr>
          <w:p w14:paraId="69EC62C1" w14:textId="47C72AE1" w:rsidR="00746661" w:rsidRPr="00746661" w:rsidRDefault="00746661" w:rsidP="00746661">
            <w:pPr>
              <w:spacing w:before="0" w:after="0" w:line="240" w:lineRule="auto"/>
              <w:rPr>
                <w:rFonts w:eastAsia="Times New Roman"/>
                <w:color w:val="000000"/>
              </w:rPr>
            </w:pPr>
            <w:r w:rsidRPr="00746661">
              <w:rPr>
                <w:rFonts w:eastAsia="Times New Roman"/>
                <w:color w:val="000000"/>
              </w:rPr>
              <w:t>Six conference presentati</w:t>
            </w:r>
            <w:r>
              <w:rPr>
                <w:rFonts w:eastAsia="Times New Roman"/>
                <w:color w:val="000000"/>
              </w:rPr>
              <w:t>o</w:t>
            </w:r>
            <w:r w:rsidRPr="00746661">
              <w:rPr>
                <w:rFonts w:eastAsia="Times New Roman"/>
                <w:color w:val="000000"/>
              </w:rPr>
              <w:t>ns between CSAVR, NCSAB and NCRE</w:t>
            </w:r>
          </w:p>
        </w:tc>
      </w:tr>
      <w:tr w:rsidR="00746661" w:rsidRPr="00746661" w14:paraId="599FF4B8" w14:textId="77777777" w:rsidTr="00746661">
        <w:trPr>
          <w:trHeight w:val="310"/>
        </w:trPr>
        <w:tc>
          <w:tcPr>
            <w:tcW w:w="934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7EC4A94D" w14:textId="77777777" w:rsidR="00746661" w:rsidRPr="00746661" w:rsidRDefault="00746661" w:rsidP="00746661">
            <w:pPr>
              <w:spacing w:before="0" w:after="0" w:line="240" w:lineRule="auto"/>
              <w:rPr>
                <w:rFonts w:eastAsia="Times New Roman"/>
                <w:b/>
                <w:bCs/>
                <w:color w:val="000000"/>
              </w:rPr>
            </w:pPr>
            <w:r w:rsidRPr="00746661">
              <w:rPr>
                <w:rFonts w:eastAsia="Times New Roman"/>
                <w:b/>
                <w:bCs/>
                <w:color w:val="000000"/>
              </w:rPr>
              <w:t>Domain: Program Evaluation</w:t>
            </w:r>
          </w:p>
        </w:tc>
      </w:tr>
      <w:tr w:rsidR="00746661" w:rsidRPr="00746661" w14:paraId="470C3F05" w14:textId="77777777" w:rsidTr="00746661">
        <w:trPr>
          <w:trHeight w:val="310"/>
        </w:trPr>
        <w:tc>
          <w:tcPr>
            <w:tcW w:w="3520" w:type="dxa"/>
            <w:tcBorders>
              <w:top w:val="nil"/>
              <w:left w:val="single" w:sz="4" w:space="0" w:color="auto"/>
              <w:bottom w:val="single" w:sz="4" w:space="0" w:color="auto"/>
              <w:right w:val="single" w:sz="4" w:space="0" w:color="auto"/>
            </w:tcBorders>
            <w:shd w:val="clear" w:color="000000" w:fill="C65911"/>
            <w:vAlign w:val="center"/>
            <w:hideMark/>
          </w:tcPr>
          <w:p w14:paraId="687C1986"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Activity</w:t>
            </w:r>
          </w:p>
        </w:tc>
        <w:tc>
          <w:tcPr>
            <w:tcW w:w="3400" w:type="dxa"/>
            <w:tcBorders>
              <w:top w:val="nil"/>
              <w:left w:val="nil"/>
              <w:bottom w:val="single" w:sz="4" w:space="0" w:color="auto"/>
              <w:right w:val="single" w:sz="4" w:space="0" w:color="auto"/>
            </w:tcBorders>
            <w:shd w:val="clear" w:color="000000" w:fill="C65911"/>
            <w:vAlign w:val="center"/>
            <w:hideMark/>
          </w:tcPr>
          <w:p w14:paraId="7BEC0BFB"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Outcome</w:t>
            </w:r>
          </w:p>
        </w:tc>
        <w:tc>
          <w:tcPr>
            <w:tcW w:w="2420" w:type="dxa"/>
            <w:tcBorders>
              <w:top w:val="nil"/>
              <w:left w:val="nil"/>
              <w:bottom w:val="single" w:sz="4" w:space="0" w:color="auto"/>
              <w:right w:val="single" w:sz="4" w:space="0" w:color="auto"/>
            </w:tcBorders>
            <w:shd w:val="clear" w:color="000000" w:fill="C65911"/>
            <w:vAlign w:val="center"/>
            <w:hideMark/>
          </w:tcPr>
          <w:p w14:paraId="2994A860" w14:textId="77777777" w:rsidR="00746661" w:rsidRPr="00746661" w:rsidRDefault="00746661" w:rsidP="00746661">
            <w:pPr>
              <w:spacing w:before="0" w:after="0" w:line="240" w:lineRule="auto"/>
              <w:jc w:val="center"/>
              <w:rPr>
                <w:rFonts w:eastAsia="Times New Roman"/>
                <w:b/>
                <w:bCs/>
                <w:color w:val="FFFFFF"/>
              </w:rPr>
            </w:pPr>
            <w:r w:rsidRPr="00746661">
              <w:rPr>
                <w:rFonts w:eastAsia="Times New Roman"/>
                <w:b/>
                <w:bCs/>
                <w:color w:val="FFFFFF"/>
              </w:rPr>
              <w:t>Status</w:t>
            </w:r>
          </w:p>
        </w:tc>
      </w:tr>
      <w:tr w:rsidR="00746661" w:rsidRPr="00746661" w14:paraId="339E190F" w14:textId="77777777" w:rsidTr="00746661">
        <w:trPr>
          <w:trHeight w:val="62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BDA7BFB"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lastRenderedPageBreak/>
              <w:t>Ongoing PE using quant. and qual. methods</w:t>
            </w:r>
          </w:p>
        </w:tc>
        <w:tc>
          <w:tcPr>
            <w:tcW w:w="3400" w:type="dxa"/>
            <w:tcBorders>
              <w:top w:val="nil"/>
              <w:left w:val="nil"/>
              <w:bottom w:val="single" w:sz="4" w:space="0" w:color="auto"/>
              <w:right w:val="single" w:sz="4" w:space="0" w:color="auto"/>
            </w:tcBorders>
            <w:shd w:val="clear" w:color="auto" w:fill="auto"/>
            <w:vAlign w:val="center"/>
            <w:hideMark/>
          </w:tcPr>
          <w:p w14:paraId="47D32BDE"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Completed eval. methods</w:t>
            </w:r>
          </w:p>
        </w:tc>
        <w:tc>
          <w:tcPr>
            <w:tcW w:w="2420" w:type="dxa"/>
            <w:tcBorders>
              <w:top w:val="nil"/>
              <w:left w:val="nil"/>
              <w:bottom w:val="single" w:sz="4" w:space="0" w:color="auto"/>
              <w:right w:val="single" w:sz="4" w:space="0" w:color="auto"/>
            </w:tcBorders>
            <w:shd w:val="clear" w:color="auto" w:fill="auto"/>
            <w:vAlign w:val="center"/>
            <w:hideMark/>
          </w:tcPr>
          <w:p w14:paraId="0B46BBC5" w14:textId="77777777" w:rsidR="00746661" w:rsidRPr="00746661" w:rsidRDefault="00746661" w:rsidP="00746661">
            <w:pPr>
              <w:spacing w:before="0" w:after="0" w:line="240" w:lineRule="auto"/>
              <w:rPr>
                <w:rFonts w:eastAsia="Times New Roman"/>
                <w:color w:val="000000"/>
              </w:rPr>
            </w:pPr>
            <w:r w:rsidRPr="00746661">
              <w:rPr>
                <w:rFonts w:eastAsia="Times New Roman"/>
                <w:color w:val="000000"/>
              </w:rPr>
              <w:t>Ongoing</w:t>
            </w:r>
          </w:p>
        </w:tc>
      </w:tr>
    </w:tbl>
    <w:p w14:paraId="3F310C5D" w14:textId="0AF371A4" w:rsidR="00633039" w:rsidRDefault="00633039" w:rsidP="00042D21">
      <w:pPr>
        <w:pStyle w:val="Style1"/>
      </w:pPr>
      <w:r>
        <w:t xml:space="preserve">The VRTAC-QM </w:t>
      </w:r>
      <w:r w:rsidR="00042D21">
        <w:t>has completed or accomplished most of the intended outcomes for Year One except for two areas. The VR Wellness check has not been completed and launched as it is in review by RSA and cannot be finalized until RSA finishes their review.</w:t>
      </w:r>
    </w:p>
    <w:p w14:paraId="385B6716" w14:textId="0EB6DD04" w:rsidR="00042D21" w:rsidRDefault="00042D21" w:rsidP="00042D21">
      <w:pPr>
        <w:pStyle w:val="Style1"/>
      </w:pPr>
      <w:r>
        <w:t xml:space="preserve">The Management Concepts training has been delayed as well. RSA’s initial review required us to rethink the course adaptions and have a second review by RSA. This has been completed and we are </w:t>
      </w:r>
      <w:proofErr w:type="gramStart"/>
      <w:r>
        <w:t>hoping</w:t>
      </w:r>
      <w:proofErr w:type="gramEnd"/>
      <w:r>
        <w:t xml:space="preserve"> the launch the first course and program by the end of the second quarter of Year Two.</w:t>
      </w:r>
    </w:p>
    <w:p w14:paraId="18498E10" w14:textId="23F67782" w:rsidR="00AC10C5" w:rsidRDefault="00AC10C5" w:rsidP="00042D21">
      <w:pPr>
        <w:pStyle w:val="Style1"/>
      </w:pPr>
      <w:r>
        <w:t xml:space="preserve">The progress we made on our program measures </w:t>
      </w:r>
      <w:r w:rsidR="00EA540C">
        <w:t>and GPRA Measures is</w:t>
      </w:r>
      <w:r>
        <w:t xml:space="preserve"> included in Table 9 below:</w:t>
      </w:r>
    </w:p>
    <w:p w14:paraId="4153716C" w14:textId="259D647D" w:rsidR="00EA540C" w:rsidRDefault="00EA540C" w:rsidP="00042D21">
      <w:pPr>
        <w:pStyle w:val="Style1"/>
      </w:pPr>
      <w:r>
        <w:t xml:space="preserve">Table 9: </w:t>
      </w:r>
      <w:r w:rsidRPr="00D3709A">
        <w:rPr>
          <w:i/>
          <w:iCs/>
        </w:rPr>
        <w:t>Progress on Program and GPRA Measures</w:t>
      </w:r>
      <w:r>
        <w:t>:</w:t>
      </w:r>
    </w:p>
    <w:tbl>
      <w:tblPr>
        <w:tblW w:w="10160" w:type="dxa"/>
        <w:tblLook w:val="04A0" w:firstRow="1" w:lastRow="0" w:firstColumn="1" w:lastColumn="0" w:noHBand="0" w:noVBand="1"/>
      </w:tblPr>
      <w:tblGrid>
        <w:gridCol w:w="4940"/>
        <w:gridCol w:w="1274"/>
        <w:gridCol w:w="1336"/>
        <w:gridCol w:w="1274"/>
        <w:gridCol w:w="1336"/>
      </w:tblGrid>
      <w:tr w:rsidR="00EA540C" w:rsidRPr="00EA540C" w14:paraId="7FBB6451" w14:textId="77777777" w:rsidTr="00EA540C">
        <w:trPr>
          <w:trHeight w:val="310"/>
          <w:tblHeader/>
        </w:trPr>
        <w:tc>
          <w:tcPr>
            <w:tcW w:w="49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1F95BA6"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Measure</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063DD536"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Target</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0D292D4C"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Actual</w:t>
            </w:r>
          </w:p>
        </w:tc>
      </w:tr>
      <w:tr w:rsidR="00EA540C" w:rsidRPr="00EA540C" w14:paraId="4DD5FF9E" w14:textId="77777777" w:rsidTr="00EA540C">
        <w:trPr>
          <w:trHeight w:val="62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0481F8"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1: Number of ITAAs signed and in progress during project year.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6EFADB63"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3</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28BF4C11"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4</w:t>
            </w:r>
          </w:p>
        </w:tc>
      </w:tr>
      <w:tr w:rsidR="00EA540C" w:rsidRPr="00EA540C" w14:paraId="1540A429" w14:textId="77777777" w:rsidTr="00EA540C">
        <w:trPr>
          <w:trHeight w:val="62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BC2944"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2: Number of ITAAs completed during the project year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3E87D983"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0</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7CB05F30"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0</w:t>
            </w:r>
          </w:p>
        </w:tc>
      </w:tr>
      <w:tr w:rsidR="00EA540C" w:rsidRPr="00EA540C" w14:paraId="1A6EBF5B" w14:textId="77777777" w:rsidTr="00EA540C">
        <w:trPr>
          <w:trHeight w:val="62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E665C6"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3: Number of SWOT assessments and reports completed</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00DB5592"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3</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796E603B"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8</w:t>
            </w:r>
          </w:p>
        </w:tc>
      </w:tr>
      <w:tr w:rsidR="00EA540C" w:rsidRPr="00EA540C" w14:paraId="7519B600" w14:textId="77777777" w:rsidTr="00EA540C">
        <w:trPr>
          <w:trHeight w:val="93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AFD81B"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4: Number of SVRA personnel completed the VR grants management certificate program</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660259AD"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270</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033721D6"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0</w:t>
            </w:r>
          </w:p>
        </w:tc>
      </w:tr>
      <w:tr w:rsidR="00EA540C" w:rsidRPr="00EA540C" w14:paraId="2834BD06" w14:textId="77777777" w:rsidTr="00EA540C">
        <w:trPr>
          <w:trHeight w:val="1000"/>
        </w:trPr>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14:paraId="76682518"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5: Number of targeted training and TA events provided by the QM and number of participants</w:t>
            </w:r>
          </w:p>
        </w:tc>
        <w:tc>
          <w:tcPr>
            <w:tcW w:w="1274" w:type="dxa"/>
            <w:tcBorders>
              <w:top w:val="nil"/>
              <w:left w:val="nil"/>
              <w:bottom w:val="single" w:sz="4" w:space="0" w:color="auto"/>
              <w:right w:val="single" w:sz="4" w:space="0" w:color="auto"/>
            </w:tcBorders>
            <w:shd w:val="clear" w:color="auto" w:fill="auto"/>
            <w:vAlign w:val="center"/>
            <w:hideMark/>
          </w:tcPr>
          <w:p w14:paraId="14640DAC"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Target # of events</w:t>
            </w:r>
          </w:p>
        </w:tc>
        <w:tc>
          <w:tcPr>
            <w:tcW w:w="1336" w:type="dxa"/>
            <w:tcBorders>
              <w:top w:val="nil"/>
              <w:left w:val="nil"/>
              <w:bottom w:val="single" w:sz="4" w:space="0" w:color="auto"/>
              <w:right w:val="single" w:sz="4" w:space="0" w:color="auto"/>
            </w:tcBorders>
            <w:shd w:val="clear" w:color="auto" w:fill="auto"/>
            <w:vAlign w:val="center"/>
            <w:hideMark/>
          </w:tcPr>
          <w:p w14:paraId="5D6D2E03"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Target # of participants</w:t>
            </w:r>
          </w:p>
        </w:tc>
        <w:tc>
          <w:tcPr>
            <w:tcW w:w="1274" w:type="dxa"/>
            <w:tcBorders>
              <w:top w:val="nil"/>
              <w:left w:val="nil"/>
              <w:bottom w:val="single" w:sz="4" w:space="0" w:color="auto"/>
              <w:right w:val="single" w:sz="4" w:space="0" w:color="auto"/>
            </w:tcBorders>
            <w:shd w:val="clear" w:color="auto" w:fill="auto"/>
            <w:vAlign w:val="center"/>
            <w:hideMark/>
          </w:tcPr>
          <w:p w14:paraId="408B2193"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Actual # of events</w:t>
            </w:r>
          </w:p>
        </w:tc>
        <w:tc>
          <w:tcPr>
            <w:tcW w:w="1336" w:type="dxa"/>
            <w:tcBorders>
              <w:top w:val="nil"/>
              <w:left w:val="nil"/>
              <w:bottom w:val="single" w:sz="4" w:space="0" w:color="auto"/>
              <w:right w:val="single" w:sz="4" w:space="0" w:color="auto"/>
            </w:tcBorders>
            <w:shd w:val="clear" w:color="auto" w:fill="auto"/>
            <w:vAlign w:val="center"/>
            <w:hideMark/>
          </w:tcPr>
          <w:p w14:paraId="3493E13D"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Actual # of participants</w:t>
            </w:r>
          </w:p>
        </w:tc>
      </w:tr>
      <w:tr w:rsidR="00EA540C" w:rsidRPr="00EA540C" w14:paraId="015FF950" w14:textId="77777777" w:rsidTr="00EA540C">
        <w:trPr>
          <w:trHeight w:val="310"/>
        </w:trPr>
        <w:tc>
          <w:tcPr>
            <w:tcW w:w="4940" w:type="dxa"/>
            <w:vMerge/>
            <w:tcBorders>
              <w:top w:val="nil"/>
              <w:left w:val="single" w:sz="4" w:space="0" w:color="auto"/>
              <w:bottom w:val="single" w:sz="4" w:space="0" w:color="auto"/>
              <w:right w:val="single" w:sz="4" w:space="0" w:color="auto"/>
            </w:tcBorders>
            <w:vAlign w:val="center"/>
            <w:hideMark/>
          </w:tcPr>
          <w:p w14:paraId="0A445D2F" w14:textId="77777777" w:rsidR="00EA540C" w:rsidRPr="00EA540C" w:rsidRDefault="00EA540C" w:rsidP="00EA540C">
            <w:pPr>
              <w:spacing w:before="0" w:after="0" w:line="240" w:lineRule="auto"/>
              <w:rPr>
                <w:rFonts w:eastAsia="Times New Roman"/>
                <w:color w:val="000000"/>
              </w:rPr>
            </w:pPr>
          </w:p>
        </w:tc>
        <w:tc>
          <w:tcPr>
            <w:tcW w:w="1274" w:type="dxa"/>
            <w:tcBorders>
              <w:top w:val="nil"/>
              <w:left w:val="nil"/>
              <w:bottom w:val="single" w:sz="4" w:space="0" w:color="auto"/>
              <w:right w:val="single" w:sz="4" w:space="0" w:color="auto"/>
            </w:tcBorders>
            <w:shd w:val="clear" w:color="auto" w:fill="auto"/>
            <w:vAlign w:val="center"/>
            <w:hideMark/>
          </w:tcPr>
          <w:p w14:paraId="7BB78AEB"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NA</w:t>
            </w:r>
          </w:p>
        </w:tc>
        <w:tc>
          <w:tcPr>
            <w:tcW w:w="1336" w:type="dxa"/>
            <w:tcBorders>
              <w:top w:val="nil"/>
              <w:left w:val="nil"/>
              <w:bottom w:val="single" w:sz="4" w:space="0" w:color="auto"/>
              <w:right w:val="single" w:sz="4" w:space="0" w:color="auto"/>
            </w:tcBorders>
            <w:shd w:val="clear" w:color="auto" w:fill="auto"/>
            <w:vAlign w:val="center"/>
            <w:hideMark/>
          </w:tcPr>
          <w:p w14:paraId="4B595813" w14:textId="77777777" w:rsidR="00EA540C" w:rsidRPr="00EA540C" w:rsidRDefault="00EA540C" w:rsidP="00EA540C">
            <w:pPr>
              <w:spacing w:before="0" w:after="0" w:line="240" w:lineRule="auto"/>
              <w:jc w:val="right"/>
              <w:rPr>
                <w:rFonts w:eastAsia="Times New Roman"/>
                <w:color w:val="000000"/>
              </w:rPr>
            </w:pPr>
            <w:r w:rsidRPr="00EA540C">
              <w:rPr>
                <w:rFonts w:eastAsia="Times New Roman"/>
                <w:color w:val="000000"/>
              </w:rPr>
              <w:t>100</w:t>
            </w:r>
          </w:p>
        </w:tc>
        <w:tc>
          <w:tcPr>
            <w:tcW w:w="1274" w:type="dxa"/>
            <w:tcBorders>
              <w:top w:val="nil"/>
              <w:left w:val="nil"/>
              <w:bottom w:val="single" w:sz="4" w:space="0" w:color="auto"/>
              <w:right w:val="single" w:sz="4" w:space="0" w:color="auto"/>
            </w:tcBorders>
            <w:shd w:val="clear" w:color="auto" w:fill="auto"/>
            <w:vAlign w:val="center"/>
            <w:hideMark/>
          </w:tcPr>
          <w:p w14:paraId="3D94B0BC" w14:textId="77777777" w:rsidR="00EA540C" w:rsidRPr="00EA540C" w:rsidRDefault="00EA540C" w:rsidP="00EA540C">
            <w:pPr>
              <w:spacing w:before="0" w:after="0" w:line="240" w:lineRule="auto"/>
              <w:jc w:val="right"/>
              <w:rPr>
                <w:rFonts w:eastAsia="Times New Roman"/>
                <w:color w:val="000000"/>
              </w:rPr>
            </w:pPr>
            <w:r w:rsidRPr="00EA540C">
              <w:rPr>
                <w:rFonts w:eastAsia="Times New Roman"/>
                <w:color w:val="000000"/>
              </w:rPr>
              <w:t>358</w:t>
            </w:r>
          </w:p>
        </w:tc>
        <w:tc>
          <w:tcPr>
            <w:tcW w:w="1336" w:type="dxa"/>
            <w:tcBorders>
              <w:top w:val="nil"/>
              <w:left w:val="nil"/>
              <w:bottom w:val="single" w:sz="4" w:space="0" w:color="auto"/>
              <w:right w:val="single" w:sz="4" w:space="0" w:color="auto"/>
            </w:tcBorders>
            <w:shd w:val="clear" w:color="auto" w:fill="auto"/>
            <w:vAlign w:val="center"/>
            <w:hideMark/>
          </w:tcPr>
          <w:p w14:paraId="0C4D025A" w14:textId="77777777" w:rsidR="00EA540C" w:rsidRPr="00EA540C" w:rsidRDefault="00EA540C" w:rsidP="00EA540C">
            <w:pPr>
              <w:spacing w:before="0" w:after="0" w:line="240" w:lineRule="auto"/>
              <w:jc w:val="right"/>
              <w:rPr>
                <w:rFonts w:eastAsia="Times New Roman"/>
                <w:color w:val="000000"/>
              </w:rPr>
            </w:pPr>
            <w:r w:rsidRPr="00EA540C">
              <w:rPr>
                <w:rFonts w:eastAsia="Times New Roman"/>
                <w:color w:val="000000"/>
              </w:rPr>
              <w:t>3,138</w:t>
            </w:r>
          </w:p>
        </w:tc>
      </w:tr>
      <w:tr w:rsidR="00EA540C" w:rsidRPr="00EA540C" w14:paraId="0EFBED60" w14:textId="77777777" w:rsidTr="00EA540C">
        <w:trPr>
          <w:trHeight w:val="310"/>
        </w:trPr>
        <w:tc>
          <w:tcPr>
            <w:tcW w:w="4940" w:type="dxa"/>
            <w:tcBorders>
              <w:top w:val="nil"/>
              <w:left w:val="single" w:sz="4" w:space="0" w:color="auto"/>
              <w:bottom w:val="single" w:sz="4" w:space="0" w:color="auto"/>
              <w:right w:val="single" w:sz="4" w:space="0" w:color="auto"/>
            </w:tcBorders>
            <w:shd w:val="clear" w:color="000000" w:fill="F8CBAD"/>
            <w:vAlign w:val="center"/>
            <w:hideMark/>
          </w:tcPr>
          <w:p w14:paraId="59EC1188"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Measure</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50697356"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Target</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787A82E1"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Actual</w:t>
            </w:r>
          </w:p>
        </w:tc>
      </w:tr>
      <w:tr w:rsidR="00EA540C" w:rsidRPr="00EA540C" w14:paraId="7B47DA16" w14:textId="77777777" w:rsidTr="00EA540C">
        <w:trPr>
          <w:trHeight w:val="155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CE2442"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6: Number of universal training and TA deliverables on QM completed and are available to SVRA personnel through publications, webinars, and VRTAC-QM website during the project year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0C51F483"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NA</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3F1DF4DF"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359</w:t>
            </w:r>
          </w:p>
        </w:tc>
      </w:tr>
      <w:tr w:rsidR="00EA540C" w:rsidRPr="00EA540C" w14:paraId="23F4DE7B" w14:textId="77777777" w:rsidTr="00EA540C">
        <w:trPr>
          <w:trHeight w:val="310"/>
        </w:trPr>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14:paraId="0E867E59"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7: Number and percentage of VR agency personnel reporting that the training and TA is high in quality, relevant, and useful to their work</w:t>
            </w:r>
          </w:p>
        </w:tc>
        <w:tc>
          <w:tcPr>
            <w:tcW w:w="1274" w:type="dxa"/>
            <w:tcBorders>
              <w:top w:val="nil"/>
              <w:left w:val="nil"/>
              <w:bottom w:val="single" w:sz="4" w:space="0" w:color="auto"/>
              <w:right w:val="single" w:sz="4" w:space="0" w:color="auto"/>
            </w:tcBorders>
            <w:shd w:val="clear" w:color="000000" w:fill="F8CBAD"/>
            <w:vAlign w:val="center"/>
            <w:hideMark/>
          </w:tcPr>
          <w:p w14:paraId="58A9D5A7"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Number</w:t>
            </w:r>
          </w:p>
        </w:tc>
        <w:tc>
          <w:tcPr>
            <w:tcW w:w="1336" w:type="dxa"/>
            <w:tcBorders>
              <w:top w:val="nil"/>
              <w:left w:val="nil"/>
              <w:bottom w:val="single" w:sz="4" w:space="0" w:color="auto"/>
              <w:right w:val="single" w:sz="4" w:space="0" w:color="auto"/>
            </w:tcBorders>
            <w:shd w:val="clear" w:color="000000" w:fill="F8CBAD"/>
            <w:vAlign w:val="center"/>
            <w:hideMark/>
          </w:tcPr>
          <w:p w14:paraId="06763FCA"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Percent</w:t>
            </w:r>
          </w:p>
        </w:tc>
        <w:tc>
          <w:tcPr>
            <w:tcW w:w="1274" w:type="dxa"/>
            <w:tcBorders>
              <w:top w:val="nil"/>
              <w:left w:val="nil"/>
              <w:bottom w:val="single" w:sz="4" w:space="0" w:color="auto"/>
              <w:right w:val="single" w:sz="4" w:space="0" w:color="auto"/>
            </w:tcBorders>
            <w:shd w:val="clear" w:color="000000" w:fill="F8CBAD"/>
            <w:vAlign w:val="center"/>
            <w:hideMark/>
          </w:tcPr>
          <w:p w14:paraId="0179CCE1"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Number</w:t>
            </w:r>
          </w:p>
        </w:tc>
        <w:tc>
          <w:tcPr>
            <w:tcW w:w="1336" w:type="dxa"/>
            <w:tcBorders>
              <w:top w:val="nil"/>
              <w:left w:val="nil"/>
              <w:bottom w:val="single" w:sz="4" w:space="0" w:color="auto"/>
              <w:right w:val="single" w:sz="4" w:space="0" w:color="auto"/>
            </w:tcBorders>
            <w:shd w:val="clear" w:color="000000" w:fill="F8CBAD"/>
            <w:vAlign w:val="center"/>
            <w:hideMark/>
          </w:tcPr>
          <w:p w14:paraId="38B57276"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Percent</w:t>
            </w:r>
          </w:p>
        </w:tc>
      </w:tr>
      <w:tr w:rsidR="00EA540C" w:rsidRPr="00EA540C" w14:paraId="7D361EE6" w14:textId="77777777" w:rsidTr="00EA540C">
        <w:trPr>
          <w:trHeight w:val="1020"/>
        </w:trPr>
        <w:tc>
          <w:tcPr>
            <w:tcW w:w="4940" w:type="dxa"/>
            <w:vMerge/>
            <w:tcBorders>
              <w:top w:val="nil"/>
              <w:left w:val="single" w:sz="4" w:space="0" w:color="auto"/>
              <w:bottom w:val="single" w:sz="4" w:space="0" w:color="auto"/>
              <w:right w:val="single" w:sz="4" w:space="0" w:color="auto"/>
            </w:tcBorders>
            <w:vAlign w:val="center"/>
            <w:hideMark/>
          </w:tcPr>
          <w:p w14:paraId="0407C9D0" w14:textId="77777777" w:rsidR="00EA540C" w:rsidRPr="00EA540C" w:rsidRDefault="00EA540C" w:rsidP="00EA540C">
            <w:pPr>
              <w:spacing w:before="0" w:after="0" w:line="240" w:lineRule="auto"/>
              <w:rPr>
                <w:rFonts w:eastAsia="Times New Roman"/>
                <w:color w:val="000000"/>
              </w:rPr>
            </w:pPr>
          </w:p>
        </w:tc>
        <w:tc>
          <w:tcPr>
            <w:tcW w:w="1274" w:type="dxa"/>
            <w:tcBorders>
              <w:top w:val="nil"/>
              <w:left w:val="nil"/>
              <w:bottom w:val="single" w:sz="4" w:space="0" w:color="auto"/>
              <w:right w:val="single" w:sz="4" w:space="0" w:color="auto"/>
            </w:tcBorders>
            <w:shd w:val="clear" w:color="auto" w:fill="auto"/>
            <w:vAlign w:val="center"/>
            <w:hideMark/>
          </w:tcPr>
          <w:p w14:paraId="39D5DBB9"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NA</w:t>
            </w:r>
          </w:p>
        </w:tc>
        <w:tc>
          <w:tcPr>
            <w:tcW w:w="1336" w:type="dxa"/>
            <w:tcBorders>
              <w:top w:val="nil"/>
              <w:left w:val="nil"/>
              <w:bottom w:val="single" w:sz="4" w:space="0" w:color="auto"/>
              <w:right w:val="single" w:sz="4" w:space="0" w:color="auto"/>
            </w:tcBorders>
            <w:shd w:val="clear" w:color="auto" w:fill="auto"/>
            <w:vAlign w:val="center"/>
            <w:hideMark/>
          </w:tcPr>
          <w:p w14:paraId="5C5B13A9"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75%</w:t>
            </w:r>
          </w:p>
        </w:tc>
        <w:tc>
          <w:tcPr>
            <w:tcW w:w="1274" w:type="dxa"/>
            <w:tcBorders>
              <w:top w:val="nil"/>
              <w:left w:val="nil"/>
              <w:bottom w:val="single" w:sz="4" w:space="0" w:color="auto"/>
              <w:right w:val="single" w:sz="4" w:space="0" w:color="auto"/>
            </w:tcBorders>
            <w:shd w:val="clear" w:color="auto" w:fill="auto"/>
            <w:vAlign w:val="center"/>
            <w:hideMark/>
          </w:tcPr>
          <w:p w14:paraId="2D0E10DD"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696</w:t>
            </w:r>
          </w:p>
        </w:tc>
        <w:tc>
          <w:tcPr>
            <w:tcW w:w="1336" w:type="dxa"/>
            <w:tcBorders>
              <w:top w:val="nil"/>
              <w:left w:val="nil"/>
              <w:bottom w:val="single" w:sz="4" w:space="0" w:color="auto"/>
              <w:right w:val="single" w:sz="4" w:space="0" w:color="auto"/>
            </w:tcBorders>
            <w:shd w:val="clear" w:color="auto" w:fill="auto"/>
            <w:vAlign w:val="center"/>
            <w:hideMark/>
          </w:tcPr>
          <w:p w14:paraId="0FA9B94B"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96%</w:t>
            </w:r>
          </w:p>
        </w:tc>
      </w:tr>
      <w:tr w:rsidR="00EA540C" w:rsidRPr="00EA540C" w14:paraId="302090A0" w14:textId="77777777" w:rsidTr="00EA540C">
        <w:trPr>
          <w:trHeight w:val="12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4C67A6" w14:textId="5EC37DBC"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7a: Intens</w:t>
            </w:r>
            <w:r>
              <w:rPr>
                <w:rFonts w:eastAsia="Times New Roman"/>
                <w:color w:val="000000"/>
              </w:rPr>
              <w:t>i</w:t>
            </w:r>
            <w:r w:rsidRPr="00EA540C">
              <w:rPr>
                <w:rFonts w:eastAsia="Times New Roman"/>
                <w:color w:val="000000"/>
              </w:rPr>
              <w:t>ve TA: Number and percentage of VR agency personnel reporting that the training and TA is high in quality, relevant, and useful to their work</w:t>
            </w:r>
          </w:p>
        </w:tc>
        <w:tc>
          <w:tcPr>
            <w:tcW w:w="1274" w:type="dxa"/>
            <w:tcBorders>
              <w:top w:val="nil"/>
              <w:left w:val="nil"/>
              <w:bottom w:val="single" w:sz="4" w:space="0" w:color="auto"/>
              <w:right w:val="single" w:sz="4" w:space="0" w:color="auto"/>
            </w:tcBorders>
            <w:shd w:val="clear" w:color="auto" w:fill="auto"/>
            <w:vAlign w:val="center"/>
            <w:hideMark/>
          </w:tcPr>
          <w:p w14:paraId="2E311C27"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NA</w:t>
            </w:r>
          </w:p>
        </w:tc>
        <w:tc>
          <w:tcPr>
            <w:tcW w:w="1336" w:type="dxa"/>
            <w:tcBorders>
              <w:top w:val="nil"/>
              <w:left w:val="nil"/>
              <w:bottom w:val="single" w:sz="4" w:space="0" w:color="auto"/>
              <w:right w:val="single" w:sz="4" w:space="0" w:color="auto"/>
            </w:tcBorders>
            <w:shd w:val="clear" w:color="auto" w:fill="auto"/>
            <w:vAlign w:val="center"/>
            <w:hideMark/>
          </w:tcPr>
          <w:p w14:paraId="2D11DDA2"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75%</w:t>
            </w:r>
          </w:p>
        </w:tc>
        <w:tc>
          <w:tcPr>
            <w:tcW w:w="1274" w:type="dxa"/>
            <w:tcBorders>
              <w:top w:val="nil"/>
              <w:left w:val="nil"/>
              <w:bottom w:val="single" w:sz="4" w:space="0" w:color="auto"/>
              <w:right w:val="single" w:sz="4" w:space="0" w:color="auto"/>
            </w:tcBorders>
            <w:shd w:val="clear" w:color="auto" w:fill="auto"/>
            <w:vAlign w:val="center"/>
            <w:hideMark/>
          </w:tcPr>
          <w:p w14:paraId="2170650C"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92</w:t>
            </w:r>
          </w:p>
        </w:tc>
        <w:tc>
          <w:tcPr>
            <w:tcW w:w="1336" w:type="dxa"/>
            <w:tcBorders>
              <w:top w:val="nil"/>
              <w:left w:val="nil"/>
              <w:bottom w:val="single" w:sz="4" w:space="0" w:color="auto"/>
              <w:right w:val="single" w:sz="4" w:space="0" w:color="auto"/>
            </w:tcBorders>
            <w:shd w:val="clear" w:color="auto" w:fill="auto"/>
            <w:vAlign w:val="center"/>
            <w:hideMark/>
          </w:tcPr>
          <w:p w14:paraId="6FE144FD"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94%</w:t>
            </w:r>
          </w:p>
        </w:tc>
      </w:tr>
      <w:tr w:rsidR="00EA540C" w:rsidRPr="00EA540C" w14:paraId="64F2D0A9" w14:textId="77777777" w:rsidTr="00EA540C">
        <w:trPr>
          <w:trHeight w:val="13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C59278F"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lastRenderedPageBreak/>
              <w:t>Project Measure 7b: Targeted TA: Number and percentage of VR agency personnel reporting that the training and TA is high in quality, relevant, and useful to their work</w:t>
            </w:r>
          </w:p>
        </w:tc>
        <w:tc>
          <w:tcPr>
            <w:tcW w:w="1274" w:type="dxa"/>
            <w:tcBorders>
              <w:top w:val="nil"/>
              <w:left w:val="nil"/>
              <w:bottom w:val="single" w:sz="4" w:space="0" w:color="auto"/>
              <w:right w:val="single" w:sz="4" w:space="0" w:color="auto"/>
            </w:tcBorders>
            <w:shd w:val="clear" w:color="auto" w:fill="auto"/>
            <w:vAlign w:val="center"/>
            <w:hideMark/>
          </w:tcPr>
          <w:p w14:paraId="334F8632"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NA</w:t>
            </w:r>
          </w:p>
        </w:tc>
        <w:tc>
          <w:tcPr>
            <w:tcW w:w="1336" w:type="dxa"/>
            <w:tcBorders>
              <w:top w:val="nil"/>
              <w:left w:val="nil"/>
              <w:bottom w:val="single" w:sz="4" w:space="0" w:color="auto"/>
              <w:right w:val="single" w:sz="4" w:space="0" w:color="auto"/>
            </w:tcBorders>
            <w:shd w:val="clear" w:color="auto" w:fill="auto"/>
            <w:vAlign w:val="center"/>
            <w:hideMark/>
          </w:tcPr>
          <w:p w14:paraId="0CDBFFB6"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75%</w:t>
            </w:r>
          </w:p>
        </w:tc>
        <w:tc>
          <w:tcPr>
            <w:tcW w:w="1274" w:type="dxa"/>
            <w:tcBorders>
              <w:top w:val="nil"/>
              <w:left w:val="nil"/>
              <w:bottom w:val="single" w:sz="4" w:space="0" w:color="auto"/>
              <w:right w:val="single" w:sz="4" w:space="0" w:color="auto"/>
            </w:tcBorders>
            <w:shd w:val="clear" w:color="auto" w:fill="auto"/>
            <w:vAlign w:val="center"/>
            <w:hideMark/>
          </w:tcPr>
          <w:p w14:paraId="6EEDB0E5"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604</w:t>
            </w:r>
          </w:p>
        </w:tc>
        <w:tc>
          <w:tcPr>
            <w:tcW w:w="1336" w:type="dxa"/>
            <w:tcBorders>
              <w:top w:val="nil"/>
              <w:left w:val="nil"/>
              <w:bottom w:val="single" w:sz="4" w:space="0" w:color="auto"/>
              <w:right w:val="single" w:sz="4" w:space="0" w:color="auto"/>
            </w:tcBorders>
            <w:shd w:val="clear" w:color="auto" w:fill="auto"/>
            <w:vAlign w:val="center"/>
            <w:hideMark/>
          </w:tcPr>
          <w:p w14:paraId="2FA841D8"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96%</w:t>
            </w:r>
          </w:p>
        </w:tc>
      </w:tr>
      <w:tr w:rsidR="00EA540C" w:rsidRPr="00EA540C" w14:paraId="4BDE8362" w14:textId="77777777" w:rsidTr="00EA540C">
        <w:trPr>
          <w:trHeight w:val="120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3BD163"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Project Measure 7c: Universal TA: Number and percentage of VR agency personnel reporting that the training and TA is high in quality, relevant, and useful to their work</w:t>
            </w:r>
          </w:p>
        </w:tc>
        <w:tc>
          <w:tcPr>
            <w:tcW w:w="1274" w:type="dxa"/>
            <w:tcBorders>
              <w:top w:val="nil"/>
              <w:left w:val="nil"/>
              <w:bottom w:val="single" w:sz="4" w:space="0" w:color="auto"/>
              <w:right w:val="single" w:sz="4" w:space="0" w:color="auto"/>
            </w:tcBorders>
            <w:shd w:val="clear" w:color="auto" w:fill="auto"/>
            <w:vAlign w:val="center"/>
            <w:hideMark/>
          </w:tcPr>
          <w:p w14:paraId="5BDCB5AE"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NA</w:t>
            </w:r>
          </w:p>
        </w:tc>
        <w:tc>
          <w:tcPr>
            <w:tcW w:w="1336" w:type="dxa"/>
            <w:tcBorders>
              <w:top w:val="nil"/>
              <w:left w:val="nil"/>
              <w:bottom w:val="single" w:sz="4" w:space="0" w:color="auto"/>
              <w:right w:val="single" w:sz="4" w:space="0" w:color="auto"/>
            </w:tcBorders>
            <w:shd w:val="clear" w:color="auto" w:fill="auto"/>
            <w:vAlign w:val="center"/>
            <w:hideMark/>
          </w:tcPr>
          <w:p w14:paraId="3D32B192" w14:textId="74BE9C7D" w:rsidR="00EA540C" w:rsidRPr="00EA540C" w:rsidRDefault="005F0733" w:rsidP="00EA540C">
            <w:pPr>
              <w:spacing w:before="0" w:after="0" w:line="240" w:lineRule="auto"/>
              <w:jc w:val="center"/>
              <w:rPr>
                <w:rFonts w:eastAsia="Times New Roman"/>
                <w:color w:val="000000"/>
              </w:rPr>
            </w:pPr>
            <w:r>
              <w:rPr>
                <w:rFonts w:eastAsia="Times New Roman"/>
                <w:color w:val="000000"/>
              </w:rPr>
              <w:t>75%</w:t>
            </w:r>
          </w:p>
        </w:tc>
        <w:tc>
          <w:tcPr>
            <w:tcW w:w="1274" w:type="dxa"/>
            <w:tcBorders>
              <w:top w:val="nil"/>
              <w:left w:val="nil"/>
              <w:bottom w:val="single" w:sz="4" w:space="0" w:color="auto"/>
              <w:right w:val="single" w:sz="4" w:space="0" w:color="auto"/>
            </w:tcBorders>
            <w:shd w:val="clear" w:color="auto" w:fill="auto"/>
            <w:vAlign w:val="center"/>
            <w:hideMark/>
          </w:tcPr>
          <w:p w14:paraId="5CD31451" w14:textId="5E7F1FD9" w:rsidR="00EA540C" w:rsidRPr="00EA540C" w:rsidRDefault="005F0733" w:rsidP="00EA540C">
            <w:pPr>
              <w:spacing w:before="0" w:after="0" w:line="240" w:lineRule="auto"/>
              <w:jc w:val="center"/>
              <w:rPr>
                <w:rFonts w:eastAsia="Times New Roman"/>
                <w:color w:val="000000"/>
              </w:rPr>
            </w:pPr>
            <w:r>
              <w:rPr>
                <w:rFonts w:eastAsia="Times New Roman"/>
                <w:color w:val="000000"/>
              </w:rPr>
              <w:t>303</w:t>
            </w:r>
          </w:p>
        </w:tc>
        <w:tc>
          <w:tcPr>
            <w:tcW w:w="1336" w:type="dxa"/>
            <w:tcBorders>
              <w:top w:val="nil"/>
              <w:left w:val="nil"/>
              <w:bottom w:val="single" w:sz="4" w:space="0" w:color="auto"/>
              <w:right w:val="single" w:sz="4" w:space="0" w:color="auto"/>
            </w:tcBorders>
            <w:shd w:val="clear" w:color="auto" w:fill="auto"/>
            <w:vAlign w:val="center"/>
            <w:hideMark/>
          </w:tcPr>
          <w:p w14:paraId="28BF3EF2" w14:textId="312F9508" w:rsidR="00EA540C" w:rsidRPr="00EA540C" w:rsidRDefault="005F0733" w:rsidP="00EA540C">
            <w:pPr>
              <w:spacing w:before="0" w:after="0" w:line="240" w:lineRule="auto"/>
              <w:jc w:val="center"/>
              <w:rPr>
                <w:rFonts w:eastAsia="Times New Roman"/>
                <w:color w:val="000000"/>
              </w:rPr>
            </w:pPr>
            <w:r>
              <w:rPr>
                <w:rFonts w:eastAsia="Times New Roman"/>
                <w:color w:val="000000"/>
              </w:rPr>
              <w:t>99%</w:t>
            </w:r>
          </w:p>
        </w:tc>
      </w:tr>
      <w:tr w:rsidR="00EA540C" w:rsidRPr="00EA540C" w14:paraId="21B4EBA5" w14:textId="77777777" w:rsidTr="00EA540C">
        <w:trPr>
          <w:trHeight w:val="310"/>
        </w:trPr>
        <w:tc>
          <w:tcPr>
            <w:tcW w:w="1016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632CA8"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GPRA Measures</w:t>
            </w:r>
          </w:p>
        </w:tc>
      </w:tr>
      <w:tr w:rsidR="00EA540C" w:rsidRPr="00EA540C" w14:paraId="25DE935F" w14:textId="77777777" w:rsidTr="00EA540C">
        <w:trPr>
          <w:trHeight w:val="310"/>
        </w:trPr>
        <w:tc>
          <w:tcPr>
            <w:tcW w:w="49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4C0DEC7"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Measure</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662F36DB"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Number</w:t>
            </w:r>
          </w:p>
        </w:tc>
        <w:tc>
          <w:tcPr>
            <w:tcW w:w="2610" w:type="dxa"/>
            <w:gridSpan w:val="2"/>
            <w:tcBorders>
              <w:top w:val="single" w:sz="4" w:space="0" w:color="auto"/>
              <w:left w:val="nil"/>
              <w:bottom w:val="single" w:sz="4" w:space="0" w:color="auto"/>
              <w:right w:val="single" w:sz="4" w:space="0" w:color="auto"/>
            </w:tcBorders>
            <w:shd w:val="clear" w:color="000000" w:fill="F8CBAD"/>
            <w:vAlign w:val="center"/>
            <w:hideMark/>
          </w:tcPr>
          <w:p w14:paraId="3C586319" w14:textId="77777777" w:rsidR="00EA540C" w:rsidRPr="00EA540C" w:rsidRDefault="00EA540C" w:rsidP="00EA540C">
            <w:pPr>
              <w:spacing w:before="0" w:after="0" w:line="240" w:lineRule="auto"/>
              <w:jc w:val="center"/>
              <w:rPr>
                <w:rFonts w:eastAsia="Times New Roman"/>
                <w:b/>
                <w:bCs/>
                <w:color w:val="000000"/>
              </w:rPr>
            </w:pPr>
            <w:r w:rsidRPr="00EA540C">
              <w:rPr>
                <w:rFonts w:eastAsia="Times New Roman"/>
                <w:b/>
                <w:bCs/>
                <w:color w:val="000000"/>
              </w:rPr>
              <w:t>Percent</w:t>
            </w:r>
          </w:p>
        </w:tc>
      </w:tr>
      <w:tr w:rsidR="00EA540C" w:rsidRPr="00EA540C" w14:paraId="5B567558" w14:textId="77777777" w:rsidTr="00EA540C">
        <w:trPr>
          <w:trHeight w:val="155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C85C75"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 xml:space="preserve">GPRA Measure a: Number and percentage of participating State VR agencies reporting improved coordination and collaboration with Federal, State, or local organizations </w:t>
            </w:r>
            <w:proofErr w:type="gramStart"/>
            <w:r w:rsidRPr="00EA540C">
              <w:rPr>
                <w:rFonts w:eastAsia="Times New Roman"/>
                <w:color w:val="000000"/>
              </w:rPr>
              <w:t>as a result of</w:t>
            </w:r>
            <w:proofErr w:type="gramEnd"/>
            <w:r w:rsidRPr="00EA540C">
              <w:rPr>
                <w:rFonts w:eastAsia="Times New Roman"/>
                <w:color w:val="000000"/>
              </w:rPr>
              <w:t xml:space="preserve"> the training and technical assistance</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2F8FD024"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15</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3B30D48A"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93%</w:t>
            </w:r>
          </w:p>
        </w:tc>
      </w:tr>
      <w:tr w:rsidR="00EA540C" w:rsidRPr="00EA540C" w14:paraId="062FB28D" w14:textId="77777777" w:rsidTr="00EA540C">
        <w:trPr>
          <w:trHeight w:val="12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E08830"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GPRA Measure b: Number and percentage of VR agency personnel reporting that the training and TA is high in quality, relevant, and useful to their work</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26D55D66"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696</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626CE23A"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96%</w:t>
            </w:r>
          </w:p>
        </w:tc>
      </w:tr>
      <w:tr w:rsidR="00EA540C" w:rsidRPr="00EA540C" w14:paraId="788FACF2" w14:textId="77777777" w:rsidTr="00EA540C">
        <w:trPr>
          <w:trHeight w:val="12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E178C7"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GPRA Measure c: Of State VR agencies that received training and TA, the percentage change in consumers achieving an employment outcome compared to the prior year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5AE354EA" w14:textId="635B0475"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 </w:t>
            </w:r>
            <w:r w:rsidR="00D3709A">
              <w:rPr>
                <w:rFonts w:eastAsia="Times New Roman"/>
                <w:color w:val="000000"/>
              </w:rPr>
              <w:t>TBD</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5E3D8121" w14:textId="0EC5E344" w:rsidR="00EA540C" w:rsidRPr="00EA540C" w:rsidRDefault="00D3709A" w:rsidP="00EA540C">
            <w:pPr>
              <w:spacing w:before="0" w:after="0" w:line="240" w:lineRule="auto"/>
              <w:jc w:val="center"/>
              <w:rPr>
                <w:rFonts w:eastAsia="Times New Roman"/>
                <w:color w:val="000000"/>
              </w:rPr>
            </w:pPr>
            <w:r>
              <w:rPr>
                <w:rFonts w:eastAsia="Times New Roman"/>
                <w:color w:val="000000"/>
              </w:rPr>
              <w:t>TBD</w:t>
            </w:r>
          </w:p>
        </w:tc>
      </w:tr>
      <w:tr w:rsidR="00EA540C" w:rsidRPr="00EA540C" w14:paraId="19DF1EF7" w14:textId="77777777" w:rsidTr="00EA540C">
        <w:trPr>
          <w:trHeight w:val="155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EAB793" w14:textId="79057A41" w:rsidR="00EA540C" w:rsidRPr="00EA540C" w:rsidRDefault="00EA540C" w:rsidP="00EA540C">
            <w:pPr>
              <w:spacing w:before="0" w:after="0" w:line="240" w:lineRule="auto"/>
              <w:rPr>
                <w:rFonts w:eastAsia="Times New Roman"/>
                <w:color w:val="000000"/>
              </w:rPr>
            </w:pPr>
            <w:r w:rsidRPr="00EA540C">
              <w:rPr>
                <w:rFonts w:eastAsia="Times New Roman"/>
                <w:color w:val="000000"/>
              </w:rPr>
              <w:t>GPRA Measure d: Of State VR agencies that received training and TA, the number and percent of agen</w:t>
            </w:r>
            <w:r>
              <w:rPr>
                <w:rFonts w:eastAsia="Times New Roman"/>
                <w:color w:val="000000"/>
              </w:rPr>
              <w:t>c</w:t>
            </w:r>
            <w:r w:rsidRPr="00EA540C">
              <w:rPr>
                <w:rFonts w:eastAsia="Times New Roman"/>
                <w:color w:val="000000"/>
              </w:rPr>
              <w:t>ies that achieved their negotiated level of performance for the measurable skill gains indicator in the VR Program Year.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59915F63"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31</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390542C4"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84%</w:t>
            </w:r>
          </w:p>
        </w:tc>
      </w:tr>
      <w:tr w:rsidR="00EA540C" w:rsidRPr="00EA540C" w14:paraId="0B94F0CA" w14:textId="77777777" w:rsidTr="00EA540C">
        <w:trPr>
          <w:trHeight w:val="155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B3A154" w14:textId="77777777" w:rsidR="00EA540C" w:rsidRPr="00EA540C" w:rsidRDefault="00EA540C" w:rsidP="00EA540C">
            <w:pPr>
              <w:spacing w:before="0" w:after="0" w:line="240" w:lineRule="auto"/>
              <w:rPr>
                <w:rFonts w:eastAsia="Times New Roman"/>
                <w:color w:val="000000"/>
              </w:rPr>
            </w:pPr>
            <w:r w:rsidRPr="00EA540C">
              <w:rPr>
                <w:rFonts w:eastAsia="Times New Roman"/>
                <w:color w:val="000000"/>
              </w:rPr>
              <w:t xml:space="preserve">GPRA Measure e: The number and percentage of participating State VR agencies that adopt quality management strategies and practices </w:t>
            </w:r>
            <w:proofErr w:type="gramStart"/>
            <w:r w:rsidRPr="00EA540C">
              <w:rPr>
                <w:rFonts w:eastAsia="Times New Roman"/>
                <w:color w:val="000000"/>
              </w:rPr>
              <w:t>as a result of</w:t>
            </w:r>
            <w:proofErr w:type="gramEnd"/>
            <w:r w:rsidRPr="00EA540C">
              <w:rPr>
                <w:rFonts w:eastAsia="Times New Roman"/>
                <w:color w:val="000000"/>
              </w:rPr>
              <w:t xml:space="preserve"> training and technical assistance provided under this grant.</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4940E4D0"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58</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5996DC79" w14:textId="77777777" w:rsidR="00EA540C" w:rsidRPr="00EA540C" w:rsidRDefault="00EA540C" w:rsidP="00EA540C">
            <w:pPr>
              <w:spacing w:before="0" w:after="0" w:line="240" w:lineRule="auto"/>
              <w:jc w:val="center"/>
              <w:rPr>
                <w:rFonts w:eastAsia="Times New Roman"/>
                <w:color w:val="000000"/>
              </w:rPr>
            </w:pPr>
            <w:r w:rsidRPr="00EA540C">
              <w:rPr>
                <w:rFonts w:eastAsia="Times New Roman"/>
                <w:color w:val="000000"/>
              </w:rPr>
              <w:t>90%</w:t>
            </w:r>
          </w:p>
        </w:tc>
      </w:tr>
    </w:tbl>
    <w:p w14:paraId="678ED111" w14:textId="0975176C" w:rsidR="00AC10C5" w:rsidRPr="007D3F23" w:rsidRDefault="00D3709A" w:rsidP="00042D21">
      <w:pPr>
        <w:pStyle w:val="Style1"/>
      </w:pPr>
      <w:r>
        <w:t xml:space="preserve">The VRTAC-QM exceeded the GPRA measures identified in our cooperative agreement in all areas for which we have data. We were not able to identify the increase in employment outcomes for agencies we have worked with as we only have baseline information for PY 2020. We will report this information in the Year Two end of year report. </w:t>
      </w:r>
    </w:p>
    <w:p w14:paraId="6B6331D9" w14:textId="38DB9D72" w:rsidR="007D3F23" w:rsidRDefault="007D76D4" w:rsidP="007D76D4">
      <w:pPr>
        <w:pStyle w:val="Heading2"/>
      </w:pPr>
      <w:bookmarkStart w:id="28" w:name="_Toc92084387"/>
      <w:r>
        <w:t xml:space="preserve">Part 3: Significant program activities, outputs, </w:t>
      </w:r>
      <w:proofErr w:type="gramStart"/>
      <w:r>
        <w:t>products</w:t>
      </w:r>
      <w:proofErr w:type="gramEnd"/>
      <w:r>
        <w:t xml:space="preserve"> and outcomes anticipated </w:t>
      </w:r>
      <w:r w:rsidR="00D3709A">
        <w:t>in Year 2:</w:t>
      </w:r>
      <w:bookmarkEnd w:id="28"/>
    </w:p>
    <w:p w14:paraId="2F9D73B1" w14:textId="4EE44BC6" w:rsidR="007D76D4" w:rsidRDefault="007D76D4" w:rsidP="00D015B0">
      <w:pPr>
        <w:pStyle w:val="Style1"/>
        <w:rPr>
          <w:sz w:val="22"/>
          <w:szCs w:val="22"/>
        </w:rPr>
      </w:pPr>
      <w:r>
        <w:t xml:space="preserve">The VRTAC-QM anticipates that the following activities, </w:t>
      </w:r>
      <w:r>
        <w:rPr>
          <w:sz w:val="22"/>
          <w:szCs w:val="22"/>
        </w:rPr>
        <w:t xml:space="preserve">outputs, </w:t>
      </w:r>
      <w:proofErr w:type="gramStart"/>
      <w:r>
        <w:rPr>
          <w:sz w:val="22"/>
          <w:szCs w:val="22"/>
        </w:rPr>
        <w:t>products</w:t>
      </w:r>
      <w:proofErr w:type="gramEnd"/>
      <w:r>
        <w:rPr>
          <w:sz w:val="22"/>
          <w:szCs w:val="22"/>
        </w:rPr>
        <w:t xml:space="preserve"> and outcomes will occur </w:t>
      </w:r>
      <w:r w:rsidR="00D3709A">
        <w:rPr>
          <w:sz w:val="22"/>
          <w:szCs w:val="22"/>
        </w:rPr>
        <w:t>in Year 2</w:t>
      </w:r>
      <w:r>
        <w:rPr>
          <w:sz w:val="22"/>
          <w:szCs w:val="22"/>
        </w:rPr>
        <w:t>:</w:t>
      </w:r>
    </w:p>
    <w:p w14:paraId="20970B4A" w14:textId="3B32FD68" w:rsidR="007D76D4" w:rsidRPr="007D76D4" w:rsidRDefault="007D76D4" w:rsidP="00CF744E">
      <w:pPr>
        <w:pStyle w:val="Style1"/>
        <w:numPr>
          <w:ilvl w:val="6"/>
          <w:numId w:val="6"/>
        </w:numPr>
        <w:ind w:left="720"/>
      </w:pPr>
      <w:r>
        <w:rPr>
          <w:sz w:val="22"/>
          <w:szCs w:val="22"/>
        </w:rPr>
        <w:t xml:space="preserve">Completion of at </w:t>
      </w:r>
      <w:r w:rsidR="00D3709A">
        <w:rPr>
          <w:sz w:val="22"/>
          <w:szCs w:val="22"/>
        </w:rPr>
        <w:t>seven</w:t>
      </w:r>
      <w:r>
        <w:rPr>
          <w:sz w:val="22"/>
          <w:szCs w:val="22"/>
        </w:rPr>
        <w:t xml:space="preserve"> more </w:t>
      </w:r>
      <w:proofErr w:type="gramStart"/>
      <w:r>
        <w:rPr>
          <w:sz w:val="22"/>
          <w:szCs w:val="22"/>
        </w:rPr>
        <w:t>ITAAs;</w:t>
      </w:r>
      <w:proofErr w:type="gramEnd"/>
    </w:p>
    <w:p w14:paraId="76C06A00" w14:textId="7CF1195C" w:rsidR="007D76D4" w:rsidRPr="007D76D4" w:rsidRDefault="007D76D4" w:rsidP="00CF744E">
      <w:pPr>
        <w:pStyle w:val="Style1"/>
        <w:numPr>
          <w:ilvl w:val="6"/>
          <w:numId w:val="6"/>
        </w:numPr>
        <w:ind w:left="720"/>
      </w:pPr>
      <w:r>
        <w:rPr>
          <w:sz w:val="22"/>
          <w:szCs w:val="22"/>
        </w:rPr>
        <w:lastRenderedPageBreak/>
        <w:t xml:space="preserve">Launch of the </w:t>
      </w:r>
      <w:r w:rsidR="005A32EF">
        <w:rPr>
          <w:sz w:val="22"/>
          <w:szCs w:val="22"/>
        </w:rPr>
        <w:t xml:space="preserve">VR Wellness Check </w:t>
      </w:r>
      <w:proofErr w:type="gramStart"/>
      <w:r w:rsidR="005A32EF">
        <w:rPr>
          <w:sz w:val="22"/>
          <w:szCs w:val="22"/>
        </w:rPr>
        <w:t>tool</w:t>
      </w:r>
      <w:r>
        <w:rPr>
          <w:sz w:val="22"/>
          <w:szCs w:val="22"/>
        </w:rPr>
        <w:t>;</w:t>
      </w:r>
      <w:proofErr w:type="gramEnd"/>
    </w:p>
    <w:p w14:paraId="2C1FFA2B" w14:textId="72F22D79" w:rsidR="007D76D4" w:rsidRPr="007D76D4" w:rsidRDefault="007D76D4" w:rsidP="00CF744E">
      <w:pPr>
        <w:pStyle w:val="Style1"/>
        <w:numPr>
          <w:ilvl w:val="6"/>
          <w:numId w:val="6"/>
        </w:numPr>
        <w:ind w:left="720"/>
      </w:pPr>
      <w:r>
        <w:rPr>
          <w:sz w:val="22"/>
          <w:szCs w:val="22"/>
        </w:rPr>
        <w:t>Completion of Management Concepts course development</w:t>
      </w:r>
      <w:r w:rsidR="005A32EF">
        <w:rPr>
          <w:sz w:val="22"/>
          <w:szCs w:val="22"/>
        </w:rPr>
        <w:t xml:space="preserve"> and launch of the </w:t>
      </w:r>
      <w:proofErr w:type="gramStart"/>
      <w:r w:rsidR="005A32EF">
        <w:rPr>
          <w:sz w:val="22"/>
          <w:szCs w:val="22"/>
        </w:rPr>
        <w:t>training</w:t>
      </w:r>
      <w:r>
        <w:rPr>
          <w:sz w:val="22"/>
          <w:szCs w:val="22"/>
        </w:rPr>
        <w:t>;</w:t>
      </w:r>
      <w:proofErr w:type="gramEnd"/>
    </w:p>
    <w:p w14:paraId="488887CE" w14:textId="430C2D09" w:rsidR="007D76D4" w:rsidRPr="005D694B" w:rsidRDefault="005D694B" w:rsidP="00CF744E">
      <w:pPr>
        <w:pStyle w:val="Style1"/>
        <w:numPr>
          <w:ilvl w:val="6"/>
          <w:numId w:val="6"/>
        </w:numPr>
        <w:ind w:left="720"/>
      </w:pPr>
      <w:r>
        <w:rPr>
          <w:sz w:val="22"/>
          <w:szCs w:val="22"/>
        </w:rPr>
        <w:t xml:space="preserve">Provide targeted and universal TA to multiple SVRAs and </w:t>
      </w:r>
      <w:proofErr w:type="gramStart"/>
      <w:r>
        <w:rPr>
          <w:sz w:val="22"/>
          <w:szCs w:val="22"/>
        </w:rPr>
        <w:t>personnel;</w:t>
      </w:r>
      <w:proofErr w:type="gramEnd"/>
    </w:p>
    <w:p w14:paraId="45288750" w14:textId="5145A627" w:rsidR="005D694B" w:rsidRPr="005D694B" w:rsidRDefault="005D694B" w:rsidP="00CF744E">
      <w:pPr>
        <w:pStyle w:val="Style1"/>
        <w:numPr>
          <w:ilvl w:val="6"/>
          <w:numId w:val="6"/>
        </w:numPr>
        <w:ind w:left="720"/>
      </w:pPr>
      <w:r>
        <w:rPr>
          <w:sz w:val="22"/>
          <w:szCs w:val="22"/>
        </w:rPr>
        <w:t>Develop additional content for the website; and</w:t>
      </w:r>
    </w:p>
    <w:p w14:paraId="78041116" w14:textId="2DBA5F58" w:rsidR="005D694B" w:rsidRDefault="005D694B" w:rsidP="00CF744E">
      <w:pPr>
        <w:pStyle w:val="Style1"/>
        <w:numPr>
          <w:ilvl w:val="6"/>
          <w:numId w:val="6"/>
        </w:numPr>
        <w:ind w:left="720"/>
      </w:pPr>
      <w:r>
        <w:rPr>
          <w:sz w:val="22"/>
          <w:szCs w:val="22"/>
        </w:rPr>
        <w:t>Continue development of the special projects.</w:t>
      </w:r>
    </w:p>
    <w:p w14:paraId="5938932B" w14:textId="0E5E9680" w:rsidR="007D76D4" w:rsidRDefault="005D694B" w:rsidP="005D694B">
      <w:pPr>
        <w:pStyle w:val="Heading2"/>
      </w:pPr>
      <w:bookmarkStart w:id="29" w:name="_Toc92084388"/>
      <w:r>
        <w:t xml:space="preserve">Part 4: Challenges, </w:t>
      </w:r>
      <w:proofErr w:type="gramStart"/>
      <w:r>
        <w:t>opportunities</w:t>
      </w:r>
      <w:proofErr w:type="gramEnd"/>
      <w:r>
        <w:t xml:space="preserve"> and emerging issues</w:t>
      </w:r>
      <w:bookmarkEnd w:id="29"/>
    </w:p>
    <w:p w14:paraId="2A0D0EAE" w14:textId="1B9A4A98" w:rsidR="005D694B" w:rsidRDefault="005A32EF" w:rsidP="00D015B0">
      <w:pPr>
        <w:pStyle w:val="Style1"/>
      </w:pPr>
      <w:r>
        <w:t>The</w:t>
      </w:r>
      <w:r w:rsidR="005D694B">
        <w:t xml:space="preserve"> challenges </w:t>
      </w:r>
      <w:r>
        <w:t xml:space="preserve">for us as a center in Year One </w:t>
      </w:r>
      <w:r w:rsidR="005D694B">
        <w:t xml:space="preserve">include </w:t>
      </w:r>
      <w:r>
        <w:t>a high demand for fiscal and programmatic TA. The RSA supplement provided resulted in us higher Bill Columbo and Allison Flanagan to join the VRTAC-QM team. Each will bring expertise in these areas to help us meet the demand. S</w:t>
      </w:r>
      <w:r w:rsidR="005D694B">
        <w:t>taff turnover in SVRAs, staff retention, the lack of internal controls in the program and fiscal areas, and the capacity SVRAs to handle multiple program improvement efforts</w:t>
      </w:r>
      <w:r>
        <w:t xml:space="preserve"> continue to be a challenge and an opportunity for us</w:t>
      </w:r>
      <w:r w:rsidR="005D694B">
        <w:t>.</w:t>
      </w:r>
      <w:r>
        <w:t xml:space="preserve"> </w:t>
      </w:r>
    </w:p>
    <w:p w14:paraId="1402F04B" w14:textId="60B05291" w:rsidR="005D694B" w:rsidRDefault="005D694B" w:rsidP="005D694B">
      <w:pPr>
        <w:pStyle w:val="Heading2"/>
      </w:pPr>
      <w:bookmarkStart w:id="30" w:name="_Toc92084389"/>
      <w:r>
        <w:t>Part 5: COVID-</w:t>
      </w:r>
      <w:r w:rsidR="00067F6C">
        <w:t>1</w:t>
      </w:r>
      <w:r>
        <w:t>9 Impact</w:t>
      </w:r>
      <w:bookmarkEnd w:id="30"/>
    </w:p>
    <w:p w14:paraId="35ED66A8" w14:textId="7C8BE33E" w:rsidR="00EF46EA" w:rsidRDefault="00EF46EA" w:rsidP="00756068">
      <w:pPr>
        <w:pStyle w:val="Style1"/>
      </w:pPr>
      <w:r>
        <w:t xml:space="preserve">The impact </w:t>
      </w:r>
      <w:r w:rsidR="00756068">
        <w:t xml:space="preserve">of the pandemic </w:t>
      </w:r>
      <w:r>
        <w:t xml:space="preserve">has been on the SVRAs and their consumers.  Applications and numbers served are very low compared to pre-pandemic levels due to office closures, and this decrease has ramifications across multiple levels including future funding.  </w:t>
      </w:r>
      <w:r w:rsidR="00756068">
        <w:t>The pandemic continues to affect SVRAs and their ability to outreach and engage individuals with disabilities, which has become a focus area for us in our TA and training efforts.</w:t>
      </w:r>
    </w:p>
    <w:p w14:paraId="403F8041" w14:textId="71A0AAF0" w:rsidR="005D694B" w:rsidRDefault="00EF46EA" w:rsidP="00EF46EA">
      <w:pPr>
        <w:pStyle w:val="Heading1"/>
      </w:pPr>
      <w:bookmarkStart w:id="31" w:name="_Toc92084390"/>
      <w:r>
        <w:t>Section B: Work Plan</w:t>
      </w:r>
      <w:bookmarkEnd w:id="31"/>
    </w:p>
    <w:p w14:paraId="01B9D378" w14:textId="5EC0CC7B" w:rsidR="005D694B" w:rsidRDefault="00EF46EA" w:rsidP="00D015B0">
      <w:pPr>
        <w:pStyle w:val="Style1"/>
      </w:pPr>
      <w:r>
        <w:t>The status of work plan activities i</w:t>
      </w:r>
      <w:r w:rsidR="00756068">
        <w:t>s</w:t>
      </w:r>
      <w:r>
        <w:t xml:space="preserve"> detailed in Table </w:t>
      </w:r>
      <w:r w:rsidR="00756068">
        <w:t>8</w:t>
      </w:r>
      <w:r>
        <w:t xml:space="preserve"> above.</w:t>
      </w:r>
    </w:p>
    <w:p w14:paraId="309B0F50" w14:textId="115CA80A" w:rsidR="007D1EC6" w:rsidRDefault="006B2F4A" w:rsidP="007D1EC6">
      <w:pPr>
        <w:pStyle w:val="Heading1"/>
      </w:pPr>
      <w:bookmarkStart w:id="32" w:name="_Toc92084391"/>
      <w:r w:rsidRPr="005F4ACB">
        <w:t xml:space="preserve">Section </w:t>
      </w:r>
      <w:r w:rsidR="00EF46EA">
        <w:t>C</w:t>
      </w:r>
      <w:r w:rsidRPr="005F4ACB">
        <w:t xml:space="preserve">: </w:t>
      </w:r>
      <w:r w:rsidR="00EF46EA">
        <w:t>Budget</w:t>
      </w:r>
      <w:bookmarkEnd w:id="32"/>
    </w:p>
    <w:p w14:paraId="5AAA40F2" w14:textId="241BFC71" w:rsidR="006E6A05" w:rsidRDefault="008E5354" w:rsidP="00067F6C">
      <w:pPr>
        <w:pStyle w:val="Style1"/>
      </w:pPr>
      <w:r>
        <w:t xml:space="preserve">There was only one somewhat significant change to the proposed budget.  Deborah Greene was originally included in the PE budget.  She did not accept the </w:t>
      </w:r>
      <w:proofErr w:type="gramStart"/>
      <w:r>
        <w:t>position</w:t>
      </w:r>
      <w:proofErr w:type="gramEnd"/>
      <w:r>
        <w:t xml:space="preserve"> so we moved Chip Kenney over to that budget at 25% and hired Christa Nieminen on the program TA side.  </w:t>
      </w:r>
      <w:r w:rsidR="00756068">
        <w:t>In addition, we hired two staff with the supplement provided by RSA and added resources to our IT department to support the projec</w:t>
      </w:r>
      <w:r w:rsidR="00067F6C">
        <w:t>t.</w:t>
      </w:r>
    </w:p>
    <w:sectPr w:rsidR="006E6A05" w:rsidSect="00067F6C">
      <w:footerReference w:type="defaul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680B" w14:textId="77777777" w:rsidR="000700DB" w:rsidRDefault="000700DB" w:rsidP="006E4029">
      <w:pPr>
        <w:spacing w:after="0" w:line="240" w:lineRule="auto"/>
      </w:pPr>
      <w:r>
        <w:separator/>
      </w:r>
    </w:p>
  </w:endnote>
  <w:endnote w:type="continuationSeparator" w:id="0">
    <w:p w14:paraId="5FBBA72C" w14:textId="77777777" w:rsidR="000700DB" w:rsidRDefault="000700DB" w:rsidP="006E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11618"/>
      <w:docPartObj>
        <w:docPartGallery w:val="Page Numbers (Bottom of Page)"/>
        <w:docPartUnique/>
      </w:docPartObj>
    </w:sdtPr>
    <w:sdtEndPr>
      <w:rPr>
        <w:noProof/>
      </w:rPr>
    </w:sdtEndPr>
    <w:sdtContent>
      <w:p w14:paraId="14302A1E" w14:textId="50A05787" w:rsidR="00351AB0" w:rsidRDefault="00351AB0">
        <w:pPr>
          <w:pStyle w:val="Footer"/>
          <w:jc w:val="center"/>
        </w:pPr>
        <w:r>
          <w:fldChar w:fldCharType="begin"/>
        </w:r>
        <w:r>
          <w:instrText xml:space="preserve"> PAGE   \* MERGEFORMAT </w:instrText>
        </w:r>
        <w:r>
          <w:fldChar w:fldCharType="separate"/>
        </w:r>
        <w:r w:rsidR="00E736B6">
          <w:rPr>
            <w:noProof/>
          </w:rPr>
          <w:t>28</w:t>
        </w:r>
        <w:r>
          <w:rPr>
            <w:noProof/>
          </w:rPr>
          <w:fldChar w:fldCharType="end"/>
        </w:r>
      </w:p>
    </w:sdtContent>
  </w:sdt>
  <w:p w14:paraId="6AE2CB88" w14:textId="5207E6DA" w:rsidR="00351AB0" w:rsidRDefault="00351AB0">
    <w:pPr>
      <w:pStyle w:val="Footer"/>
      <w:tabs>
        <w:tab w:val="right" w:pos="109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5023" w14:textId="77777777" w:rsidR="000700DB" w:rsidRDefault="000700DB" w:rsidP="006E4029">
      <w:pPr>
        <w:spacing w:after="0" w:line="240" w:lineRule="auto"/>
      </w:pPr>
      <w:r>
        <w:separator/>
      </w:r>
    </w:p>
  </w:footnote>
  <w:footnote w:type="continuationSeparator" w:id="0">
    <w:p w14:paraId="39A44651" w14:textId="77777777" w:rsidR="000700DB" w:rsidRDefault="000700DB" w:rsidP="006E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EC1"/>
    <w:multiLevelType w:val="multilevel"/>
    <w:tmpl w:val="2E3AB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BF793B"/>
    <w:multiLevelType w:val="multilevel"/>
    <w:tmpl w:val="274C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3D3C"/>
    <w:multiLevelType w:val="hybridMultilevel"/>
    <w:tmpl w:val="B4F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1BD4"/>
    <w:multiLevelType w:val="hybridMultilevel"/>
    <w:tmpl w:val="4A98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F0C17"/>
    <w:multiLevelType w:val="hybridMultilevel"/>
    <w:tmpl w:val="FDEA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0969"/>
    <w:multiLevelType w:val="hybridMultilevel"/>
    <w:tmpl w:val="5780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65244"/>
    <w:multiLevelType w:val="hybridMultilevel"/>
    <w:tmpl w:val="72B2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A7B2D"/>
    <w:multiLevelType w:val="hybridMultilevel"/>
    <w:tmpl w:val="6FF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834FD"/>
    <w:multiLevelType w:val="hybridMultilevel"/>
    <w:tmpl w:val="F22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C20D9"/>
    <w:multiLevelType w:val="hybridMultilevel"/>
    <w:tmpl w:val="D2F22356"/>
    <w:lvl w:ilvl="0" w:tplc="6E6E0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54434"/>
    <w:multiLevelType w:val="multilevel"/>
    <w:tmpl w:val="98B49752"/>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924B92"/>
    <w:multiLevelType w:val="hybridMultilevel"/>
    <w:tmpl w:val="C7D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E4ED4"/>
    <w:multiLevelType w:val="hybridMultilevel"/>
    <w:tmpl w:val="B94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F34B1"/>
    <w:multiLevelType w:val="multilevel"/>
    <w:tmpl w:val="41B8A19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D73242"/>
    <w:multiLevelType w:val="hybridMultilevel"/>
    <w:tmpl w:val="7B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37102"/>
    <w:multiLevelType w:val="multilevel"/>
    <w:tmpl w:val="4978E4F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CD419D"/>
    <w:multiLevelType w:val="hybridMultilevel"/>
    <w:tmpl w:val="3B8A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B0C73"/>
    <w:multiLevelType w:val="hybridMultilevel"/>
    <w:tmpl w:val="E31A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06398"/>
    <w:multiLevelType w:val="multilevel"/>
    <w:tmpl w:val="1EEA6018"/>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CC5237"/>
    <w:multiLevelType w:val="hybridMultilevel"/>
    <w:tmpl w:val="007A9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A2CF0"/>
    <w:multiLevelType w:val="multilevel"/>
    <w:tmpl w:val="478ACC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2E02F9A"/>
    <w:multiLevelType w:val="hybridMultilevel"/>
    <w:tmpl w:val="6B9A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4767"/>
    <w:multiLevelType w:val="hybridMultilevel"/>
    <w:tmpl w:val="AA2C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455C5"/>
    <w:multiLevelType w:val="multilevel"/>
    <w:tmpl w:val="6DAE10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B970450"/>
    <w:multiLevelType w:val="multilevel"/>
    <w:tmpl w:val="489272C8"/>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C56976"/>
    <w:multiLevelType w:val="hybridMultilevel"/>
    <w:tmpl w:val="2FE6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41044E"/>
    <w:multiLevelType w:val="multilevel"/>
    <w:tmpl w:val="CD66687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BE6CA5"/>
    <w:multiLevelType w:val="hybridMultilevel"/>
    <w:tmpl w:val="7A16F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A3972"/>
    <w:multiLevelType w:val="hybridMultilevel"/>
    <w:tmpl w:val="C6BCB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06AE0"/>
    <w:multiLevelType w:val="hybridMultilevel"/>
    <w:tmpl w:val="7256E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C6A04C8">
      <w:numFmt w:val="bullet"/>
      <w:lvlText w:val="•"/>
      <w:lvlJc w:val="left"/>
      <w:pPr>
        <w:ind w:left="3960" w:hanging="72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AE7E31"/>
    <w:multiLevelType w:val="hybridMultilevel"/>
    <w:tmpl w:val="7B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D072B"/>
    <w:multiLevelType w:val="hybridMultilevel"/>
    <w:tmpl w:val="02E8F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41D83"/>
    <w:multiLevelType w:val="hybridMultilevel"/>
    <w:tmpl w:val="E034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06CA1"/>
    <w:multiLevelType w:val="multilevel"/>
    <w:tmpl w:val="62F4B1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552355">
    <w:abstractNumId w:val="16"/>
  </w:num>
  <w:num w:numId="2" w16cid:durableId="2139949550">
    <w:abstractNumId w:val="6"/>
  </w:num>
  <w:num w:numId="3" w16cid:durableId="1522737675">
    <w:abstractNumId w:val="19"/>
  </w:num>
  <w:num w:numId="4" w16cid:durableId="362948672">
    <w:abstractNumId w:val="31"/>
  </w:num>
  <w:num w:numId="5" w16cid:durableId="969750130">
    <w:abstractNumId w:val="22"/>
  </w:num>
  <w:num w:numId="6" w16cid:durableId="644630385">
    <w:abstractNumId w:val="13"/>
  </w:num>
  <w:num w:numId="7" w16cid:durableId="1840458069">
    <w:abstractNumId w:val="17"/>
  </w:num>
  <w:num w:numId="8" w16cid:durableId="1901744206">
    <w:abstractNumId w:val="14"/>
  </w:num>
  <w:num w:numId="9" w16cid:durableId="1752238992">
    <w:abstractNumId w:val="25"/>
  </w:num>
  <w:num w:numId="10" w16cid:durableId="1492986178">
    <w:abstractNumId w:val="21"/>
  </w:num>
  <w:num w:numId="11" w16cid:durableId="1106342695">
    <w:abstractNumId w:val="9"/>
  </w:num>
  <w:num w:numId="12" w16cid:durableId="1165900242">
    <w:abstractNumId w:val="3"/>
  </w:num>
  <w:num w:numId="13" w16cid:durableId="1970744097">
    <w:abstractNumId w:val="30"/>
  </w:num>
  <w:num w:numId="14" w16cid:durableId="822551111">
    <w:abstractNumId w:val="4"/>
  </w:num>
  <w:num w:numId="15" w16cid:durableId="1197739352">
    <w:abstractNumId w:val="29"/>
  </w:num>
  <w:num w:numId="16" w16cid:durableId="671876541">
    <w:abstractNumId w:val="27"/>
  </w:num>
  <w:num w:numId="17" w16cid:durableId="1911038322">
    <w:abstractNumId w:val="1"/>
  </w:num>
  <w:num w:numId="18" w16cid:durableId="1386223553">
    <w:abstractNumId w:val="8"/>
  </w:num>
  <w:num w:numId="19" w16cid:durableId="702294314">
    <w:abstractNumId w:val="11"/>
  </w:num>
  <w:num w:numId="20" w16cid:durableId="1445808275">
    <w:abstractNumId w:val="33"/>
  </w:num>
  <w:num w:numId="21" w16cid:durableId="660428735">
    <w:abstractNumId w:val="23"/>
  </w:num>
  <w:num w:numId="22" w16cid:durableId="932205892">
    <w:abstractNumId w:val="24"/>
  </w:num>
  <w:num w:numId="23" w16cid:durableId="761147783">
    <w:abstractNumId w:val="26"/>
  </w:num>
  <w:num w:numId="24" w16cid:durableId="1628273307">
    <w:abstractNumId w:val="18"/>
  </w:num>
  <w:num w:numId="25" w16cid:durableId="2057851342">
    <w:abstractNumId w:val="0"/>
  </w:num>
  <w:num w:numId="26" w16cid:durableId="1813449098">
    <w:abstractNumId w:val="15"/>
  </w:num>
  <w:num w:numId="27" w16cid:durableId="706640894">
    <w:abstractNumId w:val="20"/>
  </w:num>
  <w:num w:numId="28" w16cid:durableId="1318680889">
    <w:abstractNumId w:val="10"/>
  </w:num>
  <w:num w:numId="29" w16cid:durableId="2007248277">
    <w:abstractNumId w:val="7"/>
  </w:num>
  <w:num w:numId="30" w16cid:durableId="885722880">
    <w:abstractNumId w:val="12"/>
  </w:num>
  <w:num w:numId="31" w16cid:durableId="285744198">
    <w:abstractNumId w:val="2"/>
  </w:num>
  <w:num w:numId="32" w16cid:durableId="1568153986">
    <w:abstractNumId w:val="32"/>
  </w:num>
  <w:num w:numId="33" w16cid:durableId="1017462065">
    <w:abstractNumId w:val="28"/>
  </w:num>
  <w:num w:numId="34" w16cid:durableId="52980009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95"/>
    <w:rsid w:val="000142D8"/>
    <w:rsid w:val="00042D21"/>
    <w:rsid w:val="00042D24"/>
    <w:rsid w:val="00064BD7"/>
    <w:rsid w:val="00067F6C"/>
    <w:rsid w:val="000700DB"/>
    <w:rsid w:val="000921E8"/>
    <w:rsid w:val="000C2D8F"/>
    <w:rsid w:val="000F2724"/>
    <w:rsid w:val="001061BF"/>
    <w:rsid w:val="001126BD"/>
    <w:rsid w:val="00136837"/>
    <w:rsid w:val="0013757D"/>
    <w:rsid w:val="00140DC9"/>
    <w:rsid w:val="00153242"/>
    <w:rsid w:val="0017471F"/>
    <w:rsid w:val="00180757"/>
    <w:rsid w:val="001951B3"/>
    <w:rsid w:val="001A03D1"/>
    <w:rsid w:val="001C6C96"/>
    <w:rsid w:val="001D016D"/>
    <w:rsid w:val="001D6BB1"/>
    <w:rsid w:val="001E3D90"/>
    <w:rsid w:val="001E6962"/>
    <w:rsid w:val="001F57D8"/>
    <w:rsid w:val="00204145"/>
    <w:rsid w:val="00222120"/>
    <w:rsid w:val="00226A3F"/>
    <w:rsid w:val="00232ADA"/>
    <w:rsid w:val="0025103F"/>
    <w:rsid w:val="00277D70"/>
    <w:rsid w:val="00283BBB"/>
    <w:rsid w:val="00292209"/>
    <w:rsid w:val="002A18A4"/>
    <w:rsid w:val="002A4E2A"/>
    <w:rsid w:val="002B2AA7"/>
    <w:rsid w:val="002C2CD0"/>
    <w:rsid w:val="002C70F2"/>
    <w:rsid w:val="002F3FE4"/>
    <w:rsid w:val="0031117D"/>
    <w:rsid w:val="0033438C"/>
    <w:rsid w:val="00346B7A"/>
    <w:rsid w:val="00351AB0"/>
    <w:rsid w:val="00351FD4"/>
    <w:rsid w:val="0035426A"/>
    <w:rsid w:val="00354BDD"/>
    <w:rsid w:val="00360A17"/>
    <w:rsid w:val="00361B85"/>
    <w:rsid w:val="003734A3"/>
    <w:rsid w:val="003955F7"/>
    <w:rsid w:val="003B1D7D"/>
    <w:rsid w:val="003B55F9"/>
    <w:rsid w:val="003B6D43"/>
    <w:rsid w:val="003D16F1"/>
    <w:rsid w:val="003E1026"/>
    <w:rsid w:val="003E2CCC"/>
    <w:rsid w:val="003E6C16"/>
    <w:rsid w:val="003E79F0"/>
    <w:rsid w:val="00414E50"/>
    <w:rsid w:val="00416C8C"/>
    <w:rsid w:val="004207B1"/>
    <w:rsid w:val="00420C3E"/>
    <w:rsid w:val="00437C17"/>
    <w:rsid w:val="0045221A"/>
    <w:rsid w:val="00465CBA"/>
    <w:rsid w:val="00481833"/>
    <w:rsid w:val="004A591C"/>
    <w:rsid w:val="004C5AAC"/>
    <w:rsid w:val="004D63F9"/>
    <w:rsid w:val="004E0A46"/>
    <w:rsid w:val="004F650B"/>
    <w:rsid w:val="00512247"/>
    <w:rsid w:val="00523EA3"/>
    <w:rsid w:val="00552E03"/>
    <w:rsid w:val="005813DE"/>
    <w:rsid w:val="00585B6D"/>
    <w:rsid w:val="00587DBA"/>
    <w:rsid w:val="0059556A"/>
    <w:rsid w:val="005A32EF"/>
    <w:rsid w:val="005B20C5"/>
    <w:rsid w:val="005B7AE0"/>
    <w:rsid w:val="005C397D"/>
    <w:rsid w:val="005C5959"/>
    <w:rsid w:val="005D694B"/>
    <w:rsid w:val="005F0733"/>
    <w:rsid w:val="005F4ACB"/>
    <w:rsid w:val="005F759E"/>
    <w:rsid w:val="00603449"/>
    <w:rsid w:val="006039A1"/>
    <w:rsid w:val="0062687D"/>
    <w:rsid w:val="00627BED"/>
    <w:rsid w:val="00632228"/>
    <w:rsid w:val="00633039"/>
    <w:rsid w:val="00641C55"/>
    <w:rsid w:val="0064250D"/>
    <w:rsid w:val="0064506B"/>
    <w:rsid w:val="00655344"/>
    <w:rsid w:val="00663B2E"/>
    <w:rsid w:val="00675389"/>
    <w:rsid w:val="006B2F4A"/>
    <w:rsid w:val="006C12E8"/>
    <w:rsid w:val="006C24BB"/>
    <w:rsid w:val="006C4AB2"/>
    <w:rsid w:val="006C6D1C"/>
    <w:rsid w:val="006E4029"/>
    <w:rsid w:val="006E6A05"/>
    <w:rsid w:val="006F3427"/>
    <w:rsid w:val="00711549"/>
    <w:rsid w:val="00727472"/>
    <w:rsid w:val="00743097"/>
    <w:rsid w:val="00743BAA"/>
    <w:rsid w:val="00746661"/>
    <w:rsid w:val="00746707"/>
    <w:rsid w:val="00752109"/>
    <w:rsid w:val="00756068"/>
    <w:rsid w:val="007600EA"/>
    <w:rsid w:val="007663F2"/>
    <w:rsid w:val="007819A3"/>
    <w:rsid w:val="0078343B"/>
    <w:rsid w:val="00794CA9"/>
    <w:rsid w:val="0079771E"/>
    <w:rsid w:val="007A0BE8"/>
    <w:rsid w:val="007A4760"/>
    <w:rsid w:val="007C07E5"/>
    <w:rsid w:val="007C279B"/>
    <w:rsid w:val="007D1C49"/>
    <w:rsid w:val="007D1EC6"/>
    <w:rsid w:val="007D3A05"/>
    <w:rsid w:val="007D3F23"/>
    <w:rsid w:val="007D76D4"/>
    <w:rsid w:val="007E1C41"/>
    <w:rsid w:val="008209BC"/>
    <w:rsid w:val="008477C2"/>
    <w:rsid w:val="0085098D"/>
    <w:rsid w:val="00860784"/>
    <w:rsid w:val="0086661D"/>
    <w:rsid w:val="00871628"/>
    <w:rsid w:val="008A3695"/>
    <w:rsid w:val="008B1488"/>
    <w:rsid w:val="008D0A69"/>
    <w:rsid w:val="008E5354"/>
    <w:rsid w:val="008E5946"/>
    <w:rsid w:val="008F29E3"/>
    <w:rsid w:val="00901040"/>
    <w:rsid w:val="00903059"/>
    <w:rsid w:val="00911B93"/>
    <w:rsid w:val="00932253"/>
    <w:rsid w:val="0094007C"/>
    <w:rsid w:val="009422A2"/>
    <w:rsid w:val="00946DDC"/>
    <w:rsid w:val="00966AD1"/>
    <w:rsid w:val="0097401E"/>
    <w:rsid w:val="0099073A"/>
    <w:rsid w:val="0099777B"/>
    <w:rsid w:val="009A0D0E"/>
    <w:rsid w:val="009A2408"/>
    <w:rsid w:val="009A2FCF"/>
    <w:rsid w:val="009A787F"/>
    <w:rsid w:val="009B7E91"/>
    <w:rsid w:val="009C6E5E"/>
    <w:rsid w:val="009D54F4"/>
    <w:rsid w:val="009E7CB5"/>
    <w:rsid w:val="009F740E"/>
    <w:rsid w:val="00A43553"/>
    <w:rsid w:val="00A9103A"/>
    <w:rsid w:val="00A95591"/>
    <w:rsid w:val="00AA1AE9"/>
    <w:rsid w:val="00AA4CA9"/>
    <w:rsid w:val="00AB13F1"/>
    <w:rsid w:val="00AC10C5"/>
    <w:rsid w:val="00AC4489"/>
    <w:rsid w:val="00AD34AB"/>
    <w:rsid w:val="00AD59AC"/>
    <w:rsid w:val="00AF5BF7"/>
    <w:rsid w:val="00B2046A"/>
    <w:rsid w:val="00B22B52"/>
    <w:rsid w:val="00B46F0D"/>
    <w:rsid w:val="00B62EA1"/>
    <w:rsid w:val="00B66FE5"/>
    <w:rsid w:val="00B678AA"/>
    <w:rsid w:val="00B74E10"/>
    <w:rsid w:val="00B80B71"/>
    <w:rsid w:val="00BB17D2"/>
    <w:rsid w:val="00BB2C72"/>
    <w:rsid w:val="00BC0E25"/>
    <w:rsid w:val="00BD4D63"/>
    <w:rsid w:val="00BE2FC6"/>
    <w:rsid w:val="00BE74FF"/>
    <w:rsid w:val="00C04764"/>
    <w:rsid w:val="00C43387"/>
    <w:rsid w:val="00C450D9"/>
    <w:rsid w:val="00C47F7F"/>
    <w:rsid w:val="00C55049"/>
    <w:rsid w:val="00C6004E"/>
    <w:rsid w:val="00C704E2"/>
    <w:rsid w:val="00C837E5"/>
    <w:rsid w:val="00CA40BF"/>
    <w:rsid w:val="00CB1C5D"/>
    <w:rsid w:val="00CB2411"/>
    <w:rsid w:val="00CB4D18"/>
    <w:rsid w:val="00CC00B0"/>
    <w:rsid w:val="00CD5539"/>
    <w:rsid w:val="00CF003C"/>
    <w:rsid w:val="00CF744E"/>
    <w:rsid w:val="00D015B0"/>
    <w:rsid w:val="00D061B7"/>
    <w:rsid w:val="00D3709A"/>
    <w:rsid w:val="00D4197A"/>
    <w:rsid w:val="00D47436"/>
    <w:rsid w:val="00D603D4"/>
    <w:rsid w:val="00D70F0B"/>
    <w:rsid w:val="00D725C7"/>
    <w:rsid w:val="00D943AB"/>
    <w:rsid w:val="00DA4AF2"/>
    <w:rsid w:val="00DA54C9"/>
    <w:rsid w:val="00DB657A"/>
    <w:rsid w:val="00DC0625"/>
    <w:rsid w:val="00DC7925"/>
    <w:rsid w:val="00E04826"/>
    <w:rsid w:val="00E05AC9"/>
    <w:rsid w:val="00E1464F"/>
    <w:rsid w:val="00E736B6"/>
    <w:rsid w:val="00E913F4"/>
    <w:rsid w:val="00E94C3A"/>
    <w:rsid w:val="00EA0734"/>
    <w:rsid w:val="00EA4AAA"/>
    <w:rsid w:val="00EA540C"/>
    <w:rsid w:val="00EE6095"/>
    <w:rsid w:val="00EF46EA"/>
    <w:rsid w:val="00F35BAE"/>
    <w:rsid w:val="00F362E0"/>
    <w:rsid w:val="00F41A7A"/>
    <w:rsid w:val="00F54C73"/>
    <w:rsid w:val="00FA2F17"/>
    <w:rsid w:val="00FA7C93"/>
    <w:rsid w:val="00FB025B"/>
    <w:rsid w:val="00FB4EF7"/>
    <w:rsid w:val="00FC5B51"/>
    <w:rsid w:val="00FC7941"/>
    <w:rsid w:val="00FD1E0E"/>
    <w:rsid w:val="00FD22AA"/>
    <w:rsid w:val="00FD2DCD"/>
    <w:rsid w:val="00FF4876"/>
    <w:rsid w:val="00FF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B1F6"/>
  <w15:docId w15:val="{FF907B06-E4C8-4382-83B5-E66B10A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DA"/>
    <w:pPr>
      <w:spacing w:before="120" w:after="120"/>
    </w:pPr>
  </w:style>
  <w:style w:type="paragraph" w:styleId="Heading1">
    <w:name w:val="heading 1"/>
    <w:basedOn w:val="NoSpacing"/>
    <w:next w:val="Normal"/>
    <w:link w:val="Heading1Char"/>
    <w:uiPriority w:val="9"/>
    <w:qFormat/>
    <w:rsid w:val="00D47436"/>
    <w:pPr>
      <w:shd w:val="clear" w:color="auto" w:fill="E2EFD9" w:themeFill="accent6" w:themeFillTint="33"/>
      <w:jc w:val="center"/>
      <w:outlineLvl w:val="0"/>
    </w:pPr>
    <w:rPr>
      <w:b/>
      <w:sz w:val="28"/>
    </w:rPr>
  </w:style>
  <w:style w:type="paragraph" w:styleId="Heading2">
    <w:name w:val="heading 2"/>
    <w:basedOn w:val="Heading1"/>
    <w:next w:val="Normal"/>
    <w:link w:val="Heading2Char"/>
    <w:uiPriority w:val="9"/>
    <w:unhideWhenUsed/>
    <w:qFormat/>
    <w:rsid w:val="00136837"/>
    <w:pPr>
      <w:shd w:val="clear" w:color="auto" w:fill="C5E0B3" w:themeFill="accent6" w:themeFillTint="66"/>
      <w:jc w:val="left"/>
      <w:outlineLvl w:val="1"/>
    </w:pPr>
  </w:style>
  <w:style w:type="paragraph" w:styleId="Heading3">
    <w:name w:val="heading 3"/>
    <w:basedOn w:val="Normal"/>
    <w:next w:val="Normal"/>
    <w:link w:val="Heading3Char"/>
    <w:uiPriority w:val="9"/>
    <w:semiHidden/>
    <w:unhideWhenUsed/>
    <w:qFormat/>
    <w:rsid w:val="002F3FE4"/>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3F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B2F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6E40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695"/>
    <w:pPr>
      <w:spacing w:after="0" w:line="240" w:lineRule="auto"/>
    </w:pPr>
  </w:style>
  <w:style w:type="paragraph" w:styleId="ListParagraph">
    <w:name w:val="List Paragraph"/>
    <w:basedOn w:val="Normal"/>
    <w:uiPriority w:val="34"/>
    <w:qFormat/>
    <w:rsid w:val="00DC7925"/>
    <w:pPr>
      <w:ind w:left="720"/>
      <w:contextualSpacing/>
    </w:pPr>
  </w:style>
  <w:style w:type="character" w:customStyle="1" w:styleId="NoSpacingChar">
    <w:name w:val="No Spacing Char"/>
    <w:basedOn w:val="DefaultParagraphFont"/>
    <w:link w:val="NoSpacing"/>
    <w:uiPriority w:val="1"/>
    <w:rsid w:val="0045221A"/>
  </w:style>
  <w:style w:type="character" w:customStyle="1" w:styleId="Heading1Char">
    <w:name w:val="Heading 1 Char"/>
    <w:basedOn w:val="DefaultParagraphFont"/>
    <w:link w:val="Heading1"/>
    <w:uiPriority w:val="9"/>
    <w:rsid w:val="00D47436"/>
    <w:rPr>
      <w:b/>
      <w:sz w:val="28"/>
      <w:shd w:val="clear" w:color="auto" w:fill="E2EFD9" w:themeFill="accent6" w:themeFillTint="33"/>
    </w:rPr>
  </w:style>
  <w:style w:type="character" w:styleId="Hyperlink">
    <w:name w:val="Hyperlink"/>
    <w:basedOn w:val="DefaultParagraphFont"/>
    <w:uiPriority w:val="99"/>
    <w:unhideWhenUsed/>
    <w:rsid w:val="009B7E91"/>
    <w:rPr>
      <w:color w:val="0563C1" w:themeColor="hyperlink"/>
      <w:u w:val="single"/>
    </w:rPr>
  </w:style>
  <w:style w:type="paragraph" w:styleId="Title">
    <w:name w:val="Title"/>
    <w:basedOn w:val="Normal"/>
    <w:next w:val="Normal"/>
    <w:link w:val="TitleChar"/>
    <w:uiPriority w:val="10"/>
    <w:qFormat/>
    <w:rsid w:val="009B7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E91"/>
    <w:pPr>
      <w:spacing w:after="0" w:line="240" w:lineRule="auto"/>
    </w:pPr>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B2F4A"/>
    <w:rPr>
      <w:rFonts w:asciiTheme="majorHAnsi" w:eastAsiaTheme="majorEastAsia" w:hAnsiTheme="majorHAnsi" w:cstheme="majorBidi"/>
      <w:i/>
      <w:iCs/>
      <w:color w:val="1F4D78" w:themeColor="accent1" w:themeShade="7F"/>
    </w:rPr>
  </w:style>
  <w:style w:type="paragraph" w:styleId="NormalWeb">
    <w:name w:val="Normal (Web)"/>
    <w:basedOn w:val="Normal"/>
    <w:uiPriority w:val="99"/>
    <w:semiHidden/>
    <w:unhideWhenUsed/>
    <w:rsid w:val="006B2F4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8B1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CC"/>
    <w:rPr>
      <w:sz w:val="18"/>
      <w:szCs w:val="18"/>
    </w:rPr>
  </w:style>
  <w:style w:type="paragraph" w:styleId="CommentText">
    <w:name w:val="annotation text"/>
    <w:basedOn w:val="Normal"/>
    <w:link w:val="CommentTextChar"/>
    <w:uiPriority w:val="99"/>
    <w:semiHidden/>
    <w:unhideWhenUsed/>
    <w:rsid w:val="003E2CCC"/>
    <w:pPr>
      <w:spacing w:line="240" w:lineRule="auto"/>
    </w:pPr>
  </w:style>
  <w:style w:type="character" w:customStyle="1" w:styleId="CommentTextChar">
    <w:name w:val="Comment Text Char"/>
    <w:basedOn w:val="DefaultParagraphFont"/>
    <w:link w:val="CommentText"/>
    <w:uiPriority w:val="99"/>
    <w:semiHidden/>
    <w:rsid w:val="003E2CCC"/>
  </w:style>
  <w:style w:type="paragraph" w:styleId="CommentSubject">
    <w:name w:val="annotation subject"/>
    <w:basedOn w:val="CommentText"/>
    <w:next w:val="CommentText"/>
    <w:link w:val="CommentSubjectChar"/>
    <w:uiPriority w:val="99"/>
    <w:semiHidden/>
    <w:unhideWhenUsed/>
    <w:rsid w:val="003E2CCC"/>
    <w:rPr>
      <w:b/>
      <w:bCs/>
      <w:sz w:val="20"/>
      <w:szCs w:val="20"/>
    </w:rPr>
  </w:style>
  <w:style w:type="character" w:customStyle="1" w:styleId="CommentSubjectChar">
    <w:name w:val="Comment Subject Char"/>
    <w:basedOn w:val="CommentTextChar"/>
    <w:link w:val="CommentSubject"/>
    <w:uiPriority w:val="99"/>
    <w:semiHidden/>
    <w:rsid w:val="003E2CCC"/>
    <w:rPr>
      <w:b/>
      <w:bCs/>
      <w:sz w:val="20"/>
      <w:szCs w:val="20"/>
    </w:rPr>
  </w:style>
  <w:style w:type="paragraph" w:customStyle="1" w:styleId="Style1">
    <w:name w:val="Style1"/>
    <w:basedOn w:val="NoSpacing"/>
    <w:link w:val="Style1Char"/>
    <w:qFormat/>
    <w:rsid w:val="00D47436"/>
    <w:pPr>
      <w:spacing w:before="120" w:after="120"/>
    </w:pPr>
  </w:style>
  <w:style w:type="character" w:customStyle="1" w:styleId="Heading2Char">
    <w:name w:val="Heading 2 Char"/>
    <w:basedOn w:val="DefaultParagraphFont"/>
    <w:link w:val="Heading2"/>
    <w:uiPriority w:val="9"/>
    <w:rsid w:val="00136837"/>
    <w:rPr>
      <w:b/>
      <w:sz w:val="28"/>
      <w:shd w:val="clear" w:color="auto" w:fill="C5E0B3" w:themeFill="accent6" w:themeFillTint="66"/>
    </w:rPr>
  </w:style>
  <w:style w:type="character" w:customStyle="1" w:styleId="Style1Char">
    <w:name w:val="Style1 Char"/>
    <w:basedOn w:val="NoSpacingChar"/>
    <w:link w:val="Style1"/>
    <w:rsid w:val="00D47436"/>
  </w:style>
  <w:style w:type="character" w:customStyle="1" w:styleId="Heading3Char">
    <w:name w:val="Heading 3 Char"/>
    <w:basedOn w:val="DefaultParagraphFont"/>
    <w:link w:val="Heading3"/>
    <w:uiPriority w:val="9"/>
    <w:semiHidden/>
    <w:rsid w:val="002F3FE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2F3FE4"/>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6E4029"/>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6E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29"/>
  </w:style>
  <w:style w:type="paragraph" w:styleId="Header">
    <w:name w:val="header"/>
    <w:basedOn w:val="Normal"/>
    <w:link w:val="HeaderChar"/>
    <w:uiPriority w:val="99"/>
    <w:unhideWhenUsed/>
    <w:rsid w:val="006E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29"/>
  </w:style>
  <w:style w:type="paragraph" w:styleId="TOCHeading">
    <w:name w:val="TOC Heading"/>
    <w:basedOn w:val="Heading1"/>
    <w:next w:val="Normal"/>
    <w:uiPriority w:val="39"/>
    <w:unhideWhenUsed/>
    <w:qFormat/>
    <w:rsid w:val="006E4029"/>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E4029"/>
    <w:pPr>
      <w:spacing w:after="100"/>
    </w:pPr>
  </w:style>
  <w:style w:type="paragraph" w:styleId="TOC2">
    <w:name w:val="toc 2"/>
    <w:basedOn w:val="Normal"/>
    <w:next w:val="Normal"/>
    <w:autoRedefine/>
    <w:uiPriority w:val="39"/>
    <w:unhideWhenUsed/>
    <w:rsid w:val="006E402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011">
      <w:bodyDiv w:val="1"/>
      <w:marLeft w:val="0"/>
      <w:marRight w:val="0"/>
      <w:marTop w:val="0"/>
      <w:marBottom w:val="0"/>
      <w:divBdr>
        <w:top w:val="none" w:sz="0" w:space="0" w:color="auto"/>
        <w:left w:val="none" w:sz="0" w:space="0" w:color="auto"/>
        <w:bottom w:val="none" w:sz="0" w:space="0" w:color="auto"/>
        <w:right w:val="none" w:sz="0" w:space="0" w:color="auto"/>
      </w:divBdr>
    </w:div>
    <w:div w:id="42292470">
      <w:bodyDiv w:val="1"/>
      <w:marLeft w:val="0"/>
      <w:marRight w:val="0"/>
      <w:marTop w:val="0"/>
      <w:marBottom w:val="0"/>
      <w:divBdr>
        <w:top w:val="none" w:sz="0" w:space="0" w:color="auto"/>
        <w:left w:val="none" w:sz="0" w:space="0" w:color="auto"/>
        <w:bottom w:val="none" w:sz="0" w:space="0" w:color="auto"/>
        <w:right w:val="none" w:sz="0" w:space="0" w:color="auto"/>
      </w:divBdr>
    </w:div>
    <w:div w:id="143084671">
      <w:bodyDiv w:val="1"/>
      <w:marLeft w:val="0"/>
      <w:marRight w:val="0"/>
      <w:marTop w:val="0"/>
      <w:marBottom w:val="0"/>
      <w:divBdr>
        <w:top w:val="none" w:sz="0" w:space="0" w:color="auto"/>
        <w:left w:val="none" w:sz="0" w:space="0" w:color="auto"/>
        <w:bottom w:val="none" w:sz="0" w:space="0" w:color="auto"/>
        <w:right w:val="none" w:sz="0" w:space="0" w:color="auto"/>
      </w:divBdr>
    </w:div>
    <w:div w:id="202324604">
      <w:bodyDiv w:val="1"/>
      <w:marLeft w:val="0"/>
      <w:marRight w:val="0"/>
      <w:marTop w:val="0"/>
      <w:marBottom w:val="0"/>
      <w:divBdr>
        <w:top w:val="none" w:sz="0" w:space="0" w:color="auto"/>
        <w:left w:val="none" w:sz="0" w:space="0" w:color="auto"/>
        <w:bottom w:val="none" w:sz="0" w:space="0" w:color="auto"/>
        <w:right w:val="none" w:sz="0" w:space="0" w:color="auto"/>
      </w:divBdr>
    </w:div>
    <w:div w:id="221871314">
      <w:bodyDiv w:val="1"/>
      <w:marLeft w:val="0"/>
      <w:marRight w:val="0"/>
      <w:marTop w:val="0"/>
      <w:marBottom w:val="0"/>
      <w:divBdr>
        <w:top w:val="none" w:sz="0" w:space="0" w:color="auto"/>
        <w:left w:val="none" w:sz="0" w:space="0" w:color="auto"/>
        <w:bottom w:val="none" w:sz="0" w:space="0" w:color="auto"/>
        <w:right w:val="none" w:sz="0" w:space="0" w:color="auto"/>
      </w:divBdr>
    </w:div>
    <w:div w:id="227108392">
      <w:bodyDiv w:val="1"/>
      <w:marLeft w:val="0"/>
      <w:marRight w:val="0"/>
      <w:marTop w:val="0"/>
      <w:marBottom w:val="0"/>
      <w:divBdr>
        <w:top w:val="none" w:sz="0" w:space="0" w:color="auto"/>
        <w:left w:val="none" w:sz="0" w:space="0" w:color="auto"/>
        <w:bottom w:val="none" w:sz="0" w:space="0" w:color="auto"/>
        <w:right w:val="none" w:sz="0" w:space="0" w:color="auto"/>
      </w:divBdr>
    </w:div>
    <w:div w:id="228269087">
      <w:bodyDiv w:val="1"/>
      <w:marLeft w:val="0"/>
      <w:marRight w:val="0"/>
      <w:marTop w:val="0"/>
      <w:marBottom w:val="0"/>
      <w:divBdr>
        <w:top w:val="none" w:sz="0" w:space="0" w:color="auto"/>
        <w:left w:val="none" w:sz="0" w:space="0" w:color="auto"/>
        <w:bottom w:val="none" w:sz="0" w:space="0" w:color="auto"/>
        <w:right w:val="none" w:sz="0" w:space="0" w:color="auto"/>
      </w:divBdr>
    </w:div>
    <w:div w:id="355547576">
      <w:bodyDiv w:val="1"/>
      <w:marLeft w:val="0"/>
      <w:marRight w:val="0"/>
      <w:marTop w:val="0"/>
      <w:marBottom w:val="0"/>
      <w:divBdr>
        <w:top w:val="none" w:sz="0" w:space="0" w:color="auto"/>
        <w:left w:val="none" w:sz="0" w:space="0" w:color="auto"/>
        <w:bottom w:val="none" w:sz="0" w:space="0" w:color="auto"/>
        <w:right w:val="none" w:sz="0" w:space="0" w:color="auto"/>
      </w:divBdr>
    </w:div>
    <w:div w:id="435949084">
      <w:bodyDiv w:val="1"/>
      <w:marLeft w:val="0"/>
      <w:marRight w:val="0"/>
      <w:marTop w:val="0"/>
      <w:marBottom w:val="0"/>
      <w:divBdr>
        <w:top w:val="none" w:sz="0" w:space="0" w:color="auto"/>
        <w:left w:val="none" w:sz="0" w:space="0" w:color="auto"/>
        <w:bottom w:val="none" w:sz="0" w:space="0" w:color="auto"/>
        <w:right w:val="none" w:sz="0" w:space="0" w:color="auto"/>
      </w:divBdr>
    </w:div>
    <w:div w:id="448430048">
      <w:bodyDiv w:val="1"/>
      <w:marLeft w:val="0"/>
      <w:marRight w:val="0"/>
      <w:marTop w:val="0"/>
      <w:marBottom w:val="0"/>
      <w:divBdr>
        <w:top w:val="none" w:sz="0" w:space="0" w:color="auto"/>
        <w:left w:val="none" w:sz="0" w:space="0" w:color="auto"/>
        <w:bottom w:val="none" w:sz="0" w:space="0" w:color="auto"/>
        <w:right w:val="none" w:sz="0" w:space="0" w:color="auto"/>
      </w:divBdr>
    </w:div>
    <w:div w:id="553391784">
      <w:bodyDiv w:val="1"/>
      <w:marLeft w:val="0"/>
      <w:marRight w:val="0"/>
      <w:marTop w:val="0"/>
      <w:marBottom w:val="0"/>
      <w:divBdr>
        <w:top w:val="none" w:sz="0" w:space="0" w:color="auto"/>
        <w:left w:val="none" w:sz="0" w:space="0" w:color="auto"/>
        <w:bottom w:val="none" w:sz="0" w:space="0" w:color="auto"/>
        <w:right w:val="none" w:sz="0" w:space="0" w:color="auto"/>
      </w:divBdr>
    </w:div>
    <w:div w:id="586689454">
      <w:bodyDiv w:val="1"/>
      <w:marLeft w:val="0"/>
      <w:marRight w:val="0"/>
      <w:marTop w:val="0"/>
      <w:marBottom w:val="0"/>
      <w:divBdr>
        <w:top w:val="none" w:sz="0" w:space="0" w:color="auto"/>
        <w:left w:val="none" w:sz="0" w:space="0" w:color="auto"/>
        <w:bottom w:val="none" w:sz="0" w:space="0" w:color="auto"/>
        <w:right w:val="none" w:sz="0" w:space="0" w:color="auto"/>
      </w:divBdr>
    </w:div>
    <w:div w:id="595410369">
      <w:bodyDiv w:val="1"/>
      <w:marLeft w:val="0"/>
      <w:marRight w:val="0"/>
      <w:marTop w:val="0"/>
      <w:marBottom w:val="0"/>
      <w:divBdr>
        <w:top w:val="none" w:sz="0" w:space="0" w:color="auto"/>
        <w:left w:val="none" w:sz="0" w:space="0" w:color="auto"/>
        <w:bottom w:val="none" w:sz="0" w:space="0" w:color="auto"/>
        <w:right w:val="none" w:sz="0" w:space="0" w:color="auto"/>
      </w:divBdr>
    </w:div>
    <w:div w:id="714547051">
      <w:bodyDiv w:val="1"/>
      <w:marLeft w:val="0"/>
      <w:marRight w:val="0"/>
      <w:marTop w:val="0"/>
      <w:marBottom w:val="0"/>
      <w:divBdr>
        <w:top w:val="none" w:sz="0" w:space="0" w:color="auto"/>
        <w:left w:val="none" w:sz="0" w:space="0" w:color="auto"/>
        <w:bottom w:val="none" w:sz="0" w:space="0" w:color="auto"/>
        <w:right w:val="none" w:sz="0" w:space="0" w:color="auto"/>
      </w:divBdr>
    </w:div>
    <w:div w:id="787044530">
      <w:bodyDiv w:val="1"/>
      <w:marLeft w:val="0"/>
      <w:marRight w:val="0"/>
      <w:marTop w:val="0"/>
      <w:marBottom w:val="0"/>
      <w:divBdr>
        <w:top w:val="none" w:sz="0" w:space="0" w:color="auto"/>
        <w:left w:val="none" w:sz="0" w:space="0" w:color="auto"/>
        <w:bottom w:val="none" w:sz="0" w:space="0" w:color="auto"/>
        <w:right w:val="none" w:sz="0" w:space="0" w:color="auto"/>
      </w:divBdr>
    </w:div>
    <w:div w:id="810177206">
      <w:bodyDiv w:val="1"/>
      <w:marLeft w:val="0"/>
      <w:marRight w:val="0"/>
      <w:marTop w:val="0"/>
      <w:marBottom w:val="0"/>
      <w:divBdr>
        <w:top w:val="none" w:sz="0" w:space="0" w:color="auto"/>
        <w:left w:val="none" w:sz="0" w:space="0" w:color="auto"/>
        <w:bottom w:val="none" w:sz="0" w:space="0" w:color="auto"/>
        <w:right w:val="none" w:sz="0" w:space="0" w:color="auto"/>
      </w:divBdr>
    </w:div>
    <w:div w:id="820388004">
      <w:bodyDiv w:val="1"/>
      <w:marLeft w:val="0"/>
      <w:marRight w:val="0"/>
      <w:marTop w:val="0"/>
      <w:marBottom w:val="0"/>
      <w:divBdr>
        <w:top w:val="none" w:sz="0" w:space="0" w:color="auto"/>
        <w:left w:val="none" w:sz="0" w:space="0" w:color="auto"/>
        <w:bottom w:val="none" w:sz="0" w:space="0" w:color="auto"/>
        <w:right w:val="none" w:sz="0" w:space="0" w:color="auto"/>
      </w:divBdr>
    </w:div>
    <w:div w:id="909387103">
      <w:bodyDiv w:val="1"/>
      <w:marLeft w:val="0"/>
      <w:marRight w:val="0"/>
      <w:marTop w:val="0"/>
      <w:marBottom w:val="0"/>
      <w:divBdr>
        <w:top w:val="none" w:sz="0" w:space="0" w:color="auto"/>
        <w:left w:val="none" w:sz="0" w:space="0" w:color="auto"/>
        <w:bottom w:val="none" w:sz="0" w:space="0" w:color="auto"/>
        <w:right w:val="none" w:sz="0" w:space="0" w:color="auto"/>
      </w:divBdr>
    </w:div>
    <w:div w:id="952828980">
      <w:bodyDiv w:val="1"/>
      <w:marLeft w:val="0"/>
      <w:marRight w:val="0"/>
      <w:marTop w:val="0"/>
      <w:marBottom w:val="0"/>
      <w:divBdr>
        <w:top w:val="none" w:sz="0" w:space="0" w:color="auto"/>
        <w:left w:val="none" w:sz="0" w:space="0" w:color="auto"/>
        <w:bottom w:val="none" w:sz="0" w:space="0" w:color="auto"/>
        <w:right w:val="none" w:sz="0" w:space="0" w:color="auto"/>
      </w:divBdr>
    </w:div>
    <w:div w:id="983655089">
      <w:bodyDiv w:val="1"/>
      <w:marLeft w:val="0"/>
      <w:marRight w:val="0"/>
      <w:marTop w:val="0"/>
      <w:marBottom w:val="0"/>
      <w:divBdr>
        <w:top w:val="none" w:sz="0" w:space="0" w:color="auto"/>
        <w:left w:val="none" w:sz="0" w:space="0" w:color="auto"/>
        <w:bottom w:val="none" w:sz="0" w:space="0" w:color="auto"/>
        <w:right w:val="none" w:sz="0" w:space="0" w:color="auto"/>
      </w:divBdr>
    </w:div>
    <w:div w:id="1165975864">
      <w:bodyDiv w:val="1"/>
      <w:marLeft w:val="0"/>
      <w:marRight w:val="0"/>
      <w:marTop w:val="0"/>
      <w:marBottom w:val="0"/>
      <w:divBdr>
        <w:top w:val="none" w:sz="0" w:space="0" w:color="auto"/>
        <w:left w:val="none" w:sz="0" w:space="0" w:color="auto"/>
        <w:bottom w:val="none" w:sz="0" w:space="0" w:color="auto"/>
        <w:right w:val="none" w:sz="0" w:space="0" w:color="auto"/>
      </w:divBdr>
    </w:div>
    <w:div w:id="1207451605">
      <w:bodyDiv w:val="1"/>
      <w:marLeft w:val="0"/>
      <w:marRight w:val="0"/>
      <w:marTop w:val="0"/>
      <w:marBottom w:val="0"/>
      <w:divBdr>
        <w:top w:val="none" w:sz="0" w:space="0" w:color="auto"/>
        <w:left w:val="none" w:sz="0" w:space="0" w:color="auto"/>
        <w:bottom w:val="none" w:sz="0" w:space="0" w:color="auto"/>
        <w:right w:val="none" w:sz="0" w:space="0" w:color="auto"/>
      </w:divBdr>
    </w:div>
    <w:div w:id="1225220800">
      <w:bodyDiv w:val="1"/>
      <w:marLeft w:val="0"/>
      <w:marRight w:val="0"/>
      <w:marTop w:val="0"/>
      <w:marBottom w:val="0"/>
      <w:divBdr>
        <w:top w:val="none" w:sz="0" w:space="0" w:color="auto"/>
        <w:left w:val="none" w:sz="0" w:space="0" w:color="auto"/>
        <w:bottom w:val="none" w:sz="0" w:space="0" w:color="auto"/>
        <w:right w:val="none" w:sz="0" w:space="0" w:color="auto"/>
      </w:divBdr>
    </w:div>
    <w:div w:id="1405950112">
      <w:bodyDiv w:val="1"/>
      <w:marLeft w:val="0"/>
      <w:marRight w:val="0"/>
      <w:marTop w:val="0"/>
      <w:marBottom w:val="0"/>
      <w:divBdr>
        <w:top w:val="none" w:sz="0" w:space="0" w:color="auto"/>
        <w:left w:val="none" w:sz="0" w:space="0" w:color="auto"/>
        <w:bottom w:val="none" w:sz="0" w:space="0" w:color="auto"/>
        <w:right w:val="none" w:sz="0" w:space="0" w:color="auto"/>
      </w:divBdr>
    </w:div>
    <w:div w:id="1406563900">
      <w:bodyDiv w:val="1"/>
      <w:marLeft w:val="0"/>
      <w:marRight w:val="0"/>
      <w:marTop w:val="0"/>
      <w:marBottom w:val="0"/>
      <w:divBdr>
        <w:top w:val="none" w:sz="0" w:space="0" w:color="auto"/>
        <w:left w:val="none" w:sz="0" w:space="0" w:color="auto"/>
        <w:bottom w:val="none" w:sz="0" w:space="0" w:color="auto"/>
        <w:right w:val="none" w:sz="0" w:space="0" w:color="auto"/>
      </w:divBdr>
    </w:div>
    <w:div w:id="1446924319">
      <w:bodyDiv w:val="1"/>
      <w:marLeft w:val="0"/>
      <w:marRight w:val="0"/>
      <w:marTop w:val="0"/>
      <w:marBottom w:val="0"/>
      <w:divBdr>
        <w:top w:val="none" w:sz="0" w:space="0" w:color="auto"/>
        <w:left w:val="none" w:sz="0" w:space="0" w:color="auto"/>
        <w:bottom w:val="none" w:sz="0" w:space="0" w:color="auto"/>
        <w:right w:val="none" w:sz="0" w:space="0" w:color="auto"/>
      </w:divBdr>
    </w:div>
    <w:div w:id="1474833076">
      <w:bodyDiv w:val="1"/>
      <w:marLeft w:val="0"/>
      <w:marRight w:val="0"/>
      <w:marTop w:val="0"/>
      <w:marBottom w:val="0"/>
      <w:divBdr>
        <w:top w:val="none" w:sz="0" w:space="0" w:color="auto"/>
        <w:left w:val="none" w:sz="0" w:space="0" w:color="auto"/>
        <w:bottom w:val="none" w:sz="0" w:space="0" w:color="auto"/>
        <w:right w:val="none" w:sz="0" w:space="0" w:color="auto"/>
      </w:divBdr>
    </w:div>
    <w:div w:id="1621763293">
      <w:bodyDiv w:val="1"/>
      <w:marLeft w:val="0"/>
      <w:marRight w:val="0"/>
      <w:marTop w:val="0"/>
      <w:marBottom w:val="0"/>
      <w:divBdr>
        <w:top w:val="none" w:sz="0" w:space="0" w:color="auto"/>
        <w:left w:val="none" w:sz="0" w:space="0" w:color="auto"/>
        <w:bottom w:val="none" w:sz="0" w:space="0" w:color="auto"/>
        <w:right w:val="none" w:sz="0" w:space="0" w:color="auto"/>
      </w:divBdr>
    </w:div>
    <w:div w:id="1628007094">
      <w:bodyDiv w:val="1"/>
      <w:marLeft w:val="0"/>
      <w:marRight w:val="0"/>
      <w:marTop w:val="0"/>
      <w:marBottom w:val="0"/>
      <w:divBdr>
        <w:top w:val="none" w:sz="0" w:space="0" w:color="auto"/>
        <w:left w:val="none" w:sz="0" w:space="0" w:color="auto"/>
        <w:bottom w:val="none" w:sz="0" w:space="0" w:color="auto"/>
        <w:right w:val="none" w:sz="0" w:space="0" w:color="auto"/>
      </w:divBdr>
    </w:div>
    <w:div w:id="1720007586">
      <w:bodyDiv w:val="1"/>
      <w:marLeft w:val="0"/>
      <w:marRight w:val="0"/>
      <w:marTop w:val="0"/>
      <w:marBottom w:val="0"/>
      <w:divBdr>
        <w:top w:val="none" w:sz="0" w:space="0" w:color="auto"/>
        <w:left w:val="none" w:sz="0" w:space="0" w:color="auto"/>
        <w:bottom w:val="none" w:sz="0" w:space="0" w:color="auto"/>
        <w:right w:val="none" w:sz="0" w:space="0" w:color="auto"/>
      </w:divBdr>
    </w:div>
    <w:div w:id="1777820624">
      <w:bodyDiv w:val="1"/>
      <w:marLeft w:val="0"/>
      <w:marRight w:val="0"/>
      <w:marTop w:val="0"/>
      <w:marBottom w:val="0"/>
      <w:divBdr>
        <w:top w:val="none" w:sz="0" w:space="0" w:color="auto"/>
        <w:left w:val="none" w:sz="0" w:space="0" w:color="auto"/>
        <w:bottom w:val="none" w:sz="0" w:space="0" w:color="auto"/>
        <w:right w:val="none" w:sz="0" w:space="0" w:color="auto"/>
      </w:divBdr>
    </w:div>
    <w:div w:id="1793673982">
      <w:bodyDiv w:val="1"/>
      <w:marLeft w:val="0"/>
      <w:marRight w:val="0"/>
      <w:marTop w:val="0"/>
      <w:marBottom w:val="0"/>
      <w:divBdr>
        <w:top w:val="none" w:sz="0" w:space="0" w:color="auto"/>
        <w:left w:val="none" w:sz="0" w:space="0" w:color="auto"/>
        <w:bottom w:val="none" w:sz="0" w:space="0" w:color="auto"/>
        <w:right w:val="none" w:sz="0" w:space="0" w:color="auto"/>
      </w:divBdr>
    </w:div>
    <w:div w:id="1841386348">
      <w:bodyDiv w:val="1"/>
      <w:marLeft w:val="0"/>
      <w:marRight w:val="0"/>
      <w:marTop w:val="0"/>
      <w:marBottom w:val="0"/>
      <w:divBdr>
        <w:top w:val="none" w:sz="0" w:space="0" w:color="auto"/>
        <w:left w:val="none" w:sz="0" w:space="0" w:color="auto"/>
        <w:bottom w:val="none" w:sz="0" w:space="0" w:color="auto"/>
        <w:right w:val="none" w:sz="0" w:space="0" w:color="auto"/>
      </w:divBdr>
    </w:div>
    <w:div w:id="1932228677">
      <w:bodyDiv w:val="1"/>
      <w:marLeft w:val="0"/>
      <w:marRight w:val="0"/>
      <w:marTop w:val="0"/>
      <w:marBottom w:val="0"/>
      <w:divBdr>
        <w:top w:val="none" w:sz="0" w:space="0" w:color="auto"/>
        <w:left w:val="none" w:sz="0" w:space="0" w:color="auto"/>
        <w:bottom w:val="none" w:sz="0" w:space="0" w:color="auto"/>
        <w:right w:val="none" w:sz="0" w:space="0" w:color="auto"/>
      </w:divBdr>
    </w:div>
    <w:div w:id="1954745004">
      <w:bodyDiv w:val="1"/>
      <w:marLeft w:val="0"/>
      <w:marRight w:val="0"/>
      <w:marTop w:val="0"/>
      <w:marBottom w:val="0"/>
      <w:divBdr>
        <w:top w:val="none" w:sz="0" w:space="0" w:color="auto"/>
        <w:left w:val="none" w:sz="0" w:space="0" w:color="auto"/>
        <w:bottom w:val="none" w:sz="0" w:space="0" w:color="auto"/>
        <w:right w:val="none" w:sz="0" w:space="0" w:color="auto"/>
      </w:divBdr>
    </w:div>
    <w:div w:id="1963341621">
      <w:bodyDiv w:val="1"/>
      <w:marLeft w:val="0"/>
      <w:marRight w:val="0"/>
      <w:marTop w:val="0"/>
      <w:marBottom w:val="0"/>
      <w:divBdr>
        <w:top w:val="none" w:sz="0" w:space="0" w:color="auto"/>
        <w:left w:val="none" w:sz="0" w:space="0" w:color="auto"/>
        <w:bottom w:val="none" w:sz="0" w:space="0" w:color="auto"/>
        <w:right w:val="none" w:sz="0" w:space="0" w:color="auto"/>
      </w:divBdr>
    </w:div>
    <w:div w:id="2045710339">
      <w:bodyDiv w:val="1"/>
      <w:marLeft w:val="0"/>
      <w:marRight w:val="0"/>
      <w:marTop w:val="0"/>
      <w:marBottom w:val="0"/>
      <w:divBdr>
        <w:top w:val="none" w:sz="0" w:space="0" w:color="auto"/>
        <w:left w:val="none" w:sz="0" w:space="0" w:color="auto"/>
        <w:bottom w:val="none" w:sz="0" w:space="0" w:color="auto"/>
        <w:right w:val="none" w:sz="0" w:space="0" w:color="auto"/>
      </w:divBdr>
    </w:div>
    <w:div w:id="2097551970">
      <w:bodyDiv w:val="1"/>
      <w:marLeft w:val="0"/>
      <w:marRight w:val="0"/>
      <w:marTop w:val="0"/>
      <w:marBottom w:val="0"/>
      <w:divBdr>
        <w:top w:val="none" w:sz="0" w:space="0" w:color="auto"/>
        <w:left w:val="none" w:sz="0" w:space="0" w:color="auto"/>
        <w:bottom w:val="none" w:sz="0" w:space="0" w:color="auto"/>
        <w:right w:val="none" w:sz="0" w:space="0" w:color="auto"/>
      </w:divBdr>
    </w:div>
    <w:div w:id="2117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5168-FC54-4E71-A1E9-AC2289EE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10381</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QUARTER AND yeAR</Company>
  <LinksUpToDate>false</LinksUpToDate>
  <CharactersWithSpaces>69421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here</dc:creator>
  <cp:keywords/>
  <dc:description/>
  <cp:lastModifiedBy>Minah Oh</cp:lastModifiedBy>
  <cp:revision>2</cp:revision>
  <cp:lastPrinted>2021-04-30T01:45:00Z</cp:lastPrinted>
  <dcterms:created xsi:type="dcterms:W3CDTF">2022-12-13T20:54:00Z</dcterms:created>
  <dcterms:modified xsi:type="dcterms:W3CDTF">2022-12-13T20:54:00Z</dcterms:modified>
</cp:coreProperties>
</file>