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F8079" w14:textId="77777777" w:rsidR="00B41139" w:rsidRPr="00B41139" w:rsidRDefault="00B41139" w:rsidP="000843D1">
      <w:pPr>
        <w:spacing w:before="240" w:after="0" w:line="240" w:lineRule="auto"/>
        <w:rPr>
          <w:rFonts w:ascii="Arial" w:hAnsi="Arial" w:cs="Arial"/>
          <w:b/>
          <w:sz w:val="28"/>
          <w:szCs w:val="28"/>
        </w:rPr>
      </w:pPr>
      <w:r w:rsidRPr="00B41139">
        <w:rPr>
          <w:rFonts w:ascii="Arial" w:hAnsi="Arial" w:cs="Arial"/>
          <w:b/>
          <w:sz w:val="28"/>
          <w:szCs w:val="28"/>
        </w:rPr>
        <w:t xml:space="preserve">Build America, Buy America Act (BABAA) </w:t>
      </w:r>
    </w:p>
    <w:p w14:paraId="57809665" w14:textId="77777777" w:rsidR="00B41139" w:rsidRPr="00B41139" w:rsidRDefault="00592DCD" w:rsidP="00B41139">
      <w:pPr>
        <w:spacing w:after="0" w:line="240" w:lineRule="auto"/>
        <w:rPr>
          <w:rFonts w:ascii="Arial" w:hAnsi="Arial" w:cs="Arial"/>
          <w:b/>
          <w:sz w:val="28"/>
          <w:szCs w:val="28"/>
        </w:rPr>
      </w:pPr>
      <w:r>
        <w:rPr>
          <w:rFonts w:ascii="Arial" w:hAnsi="Arial" w:cs="Arial"/>
          <w:b/>
          <w:sz w:val="28"/>
          <w:szCs w:val="28"/>
        </w:rPr>
        <w:t>Example-</w:t>
      </w:r>
      <w:r w:rsidR="00B41139" w:rsidRPr="00B41139">
        <w:rPr>
          <w:rFonts w:ascii="Arial" w:hAnsi="Arial" w:cs="Arial"/>
          <w:b/>
          <w:sz w:val="28"/>
          <w:szCs w:val="28"/>
        </w:rPr>
        <w:t xml:space="preserve">Contract Language </w:t>
      </w:r>
    </w:p>
    <w:p w14:paraId="7B168504" w14:textId="77777777" w:rsidR="00B41139" w:rsidRPr="00B41139" w:rsidRDefault="00B41139">
      <w:pPr>
        <w:rPr>
          <w:rFonts w:ascii="Arial" w:hAnsi="Arial" w:cs="Arial"/>
          <w:b/>
          <w:sz w:val="28"/>
          <w:szCs w:val="28"/>
        </w:rPr>
      </w:pPr>
    </w:p>
    <w:p w14:paraId="29F9F2F9" w14:textId="77777777" w:rsidR="00B41139" w:rsidRPr="007C4221" w:rsidRDefault="00B41139" w:rsidP="00B41139">
      <w:pPr>
        <w:rPr>
          <w:rFonts w:ascii="Arial" w:hAnsi="Arial" w:cs="Arial"/>
          <w:b/>
          <w:sz w:val="24"/>
          <w:szCs w:val="24"/>
        </w:rPr>
      </w:pPr>
      <w:r w:rsidRPr="007C4221">
        <w:rPr>
          <w:rFonts w:ascii="Arial" w:hAnsi="Arial" w:cs="Arial"/>
          <w:b/>
          <w:sz w:val="24"/>
          <w:szCs w:val="24"/>
        </w:rPr>
        <w:t>**The language below is provided for technical assistance purposes only. VR agencies need to ensure it is also consistent with State Requirements</w:t>
      </w:r>
    </w:p>
    <w:p w14:paraId="74EB127F" w14:textId="77777777" w:rsidR="00B41139" w:rsidRPr="007C4221" w:rsidRDefault="00B41139">
      <w:pPr>
        <w:rPr>
          <w:rFonts w:ascii="Arial" w:hAnsi="Arial" w:cs="Arial"/>
          <w:b/>
          <w:sz w:val="24"/>
          <w:szCs w:val="24"/>
        </w:rPr>
      </w:pPr>
      <w:bookmarkStart w:id="0" w:name="_GoBack"/>
      <w:bookmarkEnd w:id="0"/>
    </w:p>
    <w:p w14:paraId="79317C62" w14:textId="77777777" w:rsidR="00B41139" w:rsidRPr="007C4221" w:rsidRDefault="00B41139">
      <w:pPr>
        <w:rPr>
          <w:rFonts w:ascii="Arial" w:hAnsi="Arial" w:cs="Arial"/>
          <w:sz w:val="24"/>
          <w:szCs w:val="24"/>
        </w:rPr>
      </w:pPr>
      <w:r w:rsidRPr="007C4221">
        <w:rPr>
          <w:rFonts w:ascii="Arial" w:hAnsi="Arial" w:cs="Arial"/>
          <w:sz w:val="24"/>
          <w:szCs w:val="24"/>
          <w:shd w:val="clear" w:color="auto" w:fill="FFFFFF"/>
        </w:rPr>
        <w:t>The Contractor acknowledges that it understands and agrees that the infrastructure goods it is providing or acquiring under this Agreement are supported with Federal funds subject to the Build America, Buy America Act (BABAA). </w:t>
      </w:r>
      <w:r w:rsidRPr="007C4221">
        <w:rPr>
          <w:rFonts w:ascii="Arial" w:hAnsi="Arial" w:cs="Arial"/>
          <w:sz w:val="24"/>
          <w:szCs w:val="24"/>
          <w:u w:val="single"/>
          <w:shd w:val="clear" w:color="auto" w:fill="FFFFFF"/>
        </w:rPr>
        <w:t>See</w:t>
      </w:r>
      <w:r w:rsidRPr="007C4221">
        <w:rPr>
          <w:rFonts w:ascii="Arial" w:hAnsi="Arial" w:cs="Arial"/>
          <w:sz w:val="24"/>
          <w:szCs w:val="24"/>
          <w:shd w:val="clear" w:color="auto" w:fill="FFFFFF"/>
        </w:rPr>
        <w:t> Section 70912, the Build America, Buy America Act, the “Infrastructure Investment and Jobs Act” (IIJA; P.L. 117-58). Under that provision, BABAA applies where Federal funding supports an infrastructure project as defined in Section 70912 of BABAA. BABAA requires all of the iron and steel, manufactured products, and construction materials used in the project to be produced in the United States (“Build America, Buy America Requirements”) including iron and steel, manufactured products, and construction materials provided by the Contractor pursuant to this Agreement. The Contractor hereby represents and warrants to [</w:t>
      </w:r>
      <w:r w:rsidRPr="007C4221">
        <w:rPr>
          <w:rFonts w:ascii="Arial" w:hAnsi="Arial" w:cs="Arial"/>
          <w:i/>
          <w:iCs/>
          <w:sz w:val="24"/>
          <w:szCs w:val="24"/>
          <w:shd w:val="clear" w:color="auto" w:fill="FFFFFF"/>
        </w:rPr>
        <w:t>enter RSA Grantee Name</w:t>
      </w:r>
      <w:r w:rsidRPr="007C4221">
        <w:rPr>
          <w:rFonts w:ascii="Arial" w:hAnsi="Arial" w:cs="Arial"/>
          <w:sz w:val="24"/>
          <w:szCs w:val="24"/>
          <w:shd w:val="clear" w:color="auto" w:fill="FFFFFF"/>
        </w:rPr>
        <w:t>] (a) the Contractor has reviewed and understands the Build America, Buy America Requirements, (b) all of the iron and steel, manufactured products, and construction materials used in the project will be and/or have been produced in the United States in a manner that complies with the Build America, Buy America Requirements, unless a waiver of the requirements is approved, and (c) the Contractor will provide any further verified information, certification or assurance of compliance with this paragraph, or information necessary to support a waiver of the Build America, Buy America Requirements, as may be requested by [</w:t>
      </w:r>
      <w:r w:rsidRPr="007C4221">
        <w:rPr>
          <w:rFonts w:ascii="Arial" w:hAnsi="Arial" w:cs="Arial"/>
          <w:i/>
          <w:iCs/>
          <w:sz w:val="24"/>
          <w:szCs w:val="24"/>
          <w:shd w:val="clear" w:color="auto" w:fill="FFFFFF"/>
        </w:rPr>
        <w:t>enter RSA Grantee Name</w:t>
      </w:r>
      <w:r w:rsidRPr="007C4221">
        <w:rPr>
          <w:rFonts w:ascii="Arial" w:hAnsi="Arial" w:cs="Arial"/>
          <w:sz w:val="24"/>
          <w:szCs w:val="24"/>
          <w:shd w:val="clear" w:color="auto" w:fill="FFFFFF"/>
        </w:rPr>
        <w:t>]. Notwithstanding any other provision of this Agreement, any failure to comply with this paragraph by the Contractor shall permit [</w:t>
      </w:r>
      <w:r w:rsidRPr="007C4221">
        <w:rPr>
          <w:rFonts w:ascii="Arial" w:hAnsi="Arial" w:cs="Arial"/>
          <w:i/>
          <w:iCs/>
          <w:sz w:val="24"/>
          <w:szCs w:val="24"/>
          <w:shd w:val="clear" w:color="auto" w:fill="FFFFFF"/>
        </w:rPr>
        <w:t>enter RSA Grantee Name</w:t>
      </w:r>
      <w:r w:rsidRPr="007C4221">
        <w:rPr>
          <w:rFonts w:ascii="Arial" w:hAnsi="Arial" w:cs="Arial"/>
          <w:sz w:val="24"/>
          <w:szCs w:val="24"/>
          <w:shd w:val="clear" w:color="auto" w:fill="FFFFFF"/>
        </w:rPr>
        <w:t>] to recover as damages against the Contractor any loss, expense, or cost (including without limitation attorney’s fees) incurred by the Funding Authority resulting from any such failure (including without limitation any impairment or loss of funding, whether in whole or in part, from [</w:t>
      </w:r>
      <w:r w:rsidRPr="007C4221">
        <w:rPr>
          <w:rFonts w:ascii="Arial" w:hAnsi="Arial" w:cs="Arial"/>
          <w:i/>
          <w:iCs/>
          <w:sz w:val="24"/>
          <w:szCs w:val="24"/>
          <w:shd w:val="clear" w:color="auto" w:fill="FFFFFF"/>
        </w:rPr>
        <w:t>enter RSA Grantee Name</w:t>
      </w:r>
      <w:r w:rsidRPr="007C4221">
        <w:rPr>
          <w:rFonts w:ascii="Arial" w:hAnsi="Arial" w:cs="Arial"/>
          <w:sz w:val="24"/>
          <w:szCs w:val="24"/>
          <w:shd w:val="clear" w:color="auto" w:fill="FFFFFF"/>
        </w:rPr>
        <w:t>] or any damages owed to [</w:t>
      </w:r>
      <w:r w:rsidRPr="007C4221">
        <w:rPr>
          <w:rFonts w:ascii="Arial" w:hAnsi="Arial" w:cs="Arial"/>
          <w:i/>
          <w:iCs/>
          <w:sz w:val="24"/>
          <w:szCs w:val="24"/>
          <w:shd w:val="clear" w:color="auto" w:fill="FFFFFF"/>
        </w:rPr>
        <w:t>enter RSA Grantee Name</w:t>
      </w:r>
      <w:r w:rsidRPr="007C4221">
        <w:rPr>
          <w:rFonts w:ascii="Arial" w:hAnsi="Arial" w:cs="Arial"/>
          <w:sz w:val="24"/>
          <w:szCs w:val="24"/>
          <w:shd w:val="clear" w:color="auto" w:fill="FFFFFF"/>
        </w:rPr>
        <w:t>]).</w:t>
      </w:r>
    </w:p>
    <w:sectPr w:rsidR="00B41139" w:rsidRPr="007C4221" w:rsidSect="007809A0">
      <w:headerReference w:type="default" r:id="rId7"/>
      <w:footerReference w:type="default" r:id="rId8"/>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7E2C9" w14:textId="77777777" w:rsidR="004E3094" w:rsidRDefault="004E3094" w:rsidP="007C4221">
      <w:pPr>
        <w:spacing w:after="0" w:line="240" w:lineRule="auto"/>
      </w:pPr>
      <w:r>
        <w:separator/>
      </w:r>
    </w:p>
  </w:endnote>
  <w:endnote w:type="continuationSeparator" w:id="0">
    <w:p w14:paraId="1D022C2B" w14:textId="77777777" w:rsidR="004E3094" w:rsidRDefault="004E3094" w:rsidP="007C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23845" w14:textId="6E57E074" w:rsidR="00B126D0" w:rsidRPr="0077534E" w:rsidRDefault="0077534E" w:rsidP="0077534E">
    <w:pPr>
      <w:tabs>
        <w:tab w:val="left" w:pos="3690"/>
      </w:tabs>
      <w:spacing w:after="0"/>
      <w:ind w:left="720" w:right="720"/>
      <w:jc w:val="center"/>
      <w:textDirection w:val="btLr"/>
      <w:rPr>
        <w:color w:val="0D1D34" w:themeColor="text1"/>
        <w:sz w:val="20"/>
        <w:szCs w:val="20"/>
      </w:rPr>
    </w:pPr>
    <w:r w:rsidRPr="0077534E">
      <w:rPr>
        <w:bCs/>
        <w:i/>
        <w:color w:val="0D1D34" w:themeColor="text1"/>
        <w:sz w:val="20"/>
        <w:szCs w:val="20"/>
      </w:rPr>
      <w:t>This content was developed by the VRTAC-QM, a project funded under #H264J200002 of the U.S. Department of Education (Department). The information contained herein does not necessarily reflect the position or policy of the Department and no official endorsement should be inferred.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4CD73" w14:textId="77777777" w:rsidR="004E3094" w:rsidRDefault="004E3094" w:rsidP="007C4221">
      <w:pPr>
        <w:spacing w:after="0" w:line="240" w:lineRule="auto"/>
      </w:pPr>
      <w:r>
        <w:separator/>
      </w:r>
    </w:p>
  </w:footnote>
  <w:footnote w:type="continuationSeparator" w:id="0">
    <w:p w14:paraId="4F040FF6" w14:textId="77777777" w:rsidR="004E3094" w:rsidRDefault="004E3094" w:rsidP="007C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1B31" w14:textId="2B10F08E" w:rsidR="007809A0" w:rsidRDefault="000843D1" w:rsidP="000843D1">
    <w:pPr>
      <w:pStyle w:val="Header"/>
      <w:jc w:val="right"/>
    </w:pPr>
    <w:r>
      <w:rPr>
        <w:noProof/>
      </w:rPr>
      <mc:AlternateContent>
        <mc:Choice Requires="wps">
          <w:drawing>
            <wp:anchor distT="0" distB="0" distL="114300" distR="114300" simplePos="0" relativeHeight="251659264" behindDoc="1" locked="0" layoutInCell="1" allowOverlap="1" wp14:anchorId="0CB91A4C" wp14:editId="63A18E2E">
              <wp:simplePos x="0" y="0"/>
              <wp:positionH relativeFrom="page">
                <wp:align>right</wp:align>
              </wp:positionH>
              <wp:positionV relativeFrom="paragraph">
                <wp:posOffset>-446567</wp:posOffset>
              </wp:positionV>
              <wp:extent cx="7760970" cy="1254641"/>
              <wp:effectExtent l="0" t="0" r="11430" b="2222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0970" cy="1254641"/>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E3FA9" id="Rectangle 3" o:spid="_x0000_s1026" style="position:absolute;margin-left:559.9pt;margin-top:-35.15pt;width:611.1pt;height:98.8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" fillcolor="#173654 [3215]" strokecolor="#00003e [1604]" strokeweight="1pt">
              <w10:wrap anchorx="page"/>
            </v:rect>
          </w:pict>
        </mc:Fallback>
      </mc:AlternateContent>
    </w:r>
    <w:r w:rsidR="007809A0">
      <w:rPr>
        <w:noProof/>
      </w:rPr>
      <w:drawing>
        <wp:inline distT="0" distB="0" distL="0" distR="0" wp14:anchorId="22D7BDB9" wp14:editId="0F3B1E0F">
          <wp:extent cx="1507608" cy="753804"/>
          <wp:effectExtent l="0" t="0" r="0" b="8255"/>
          <wp:docPr id="4" name="Picture 4" descr="VRTAC-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RTAC-QM logo"/>
                  <pic:cNvPicPr/>
                </pic:nvPicPr>
                <pic:blipFill>
                  <a:blip r:embed="rId1">
                    <a:extLst>
                      <a:ext uri="{28A0092B-C50C-407E-A947-70E740481C1C}">
                        <a14:useLocalDpi xmlns:a14="http://schemas.microsoft.com/office/drawing/2010/main" val="0"/>
                      </a:ext>
                    </a:extLst>
                  </a:blip>
                  <a:stretch>
                    <a:fillRect/>
                  </a:stretch>
                </pic:blipFill>
                <pic:spPr>
                  <a:xfrm>
                    <a:off x="0" y="0"/>
                    <a:ext cx="1517086" cy="7585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51330"/>
    <w:multiLevelType w:val="hybridMultilevel"/>
    <w:tmpl w:val="A844E31C"/>
    <w:lvl w:ilvl="0" w:tplc="93F231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39"/>
    <w:rsid w:val="000843D1"/>
    <w:rsid w:val="003E27F3"/>
    <w:rsid w:val="004B68E4"/>
    <w:rsid w:val="004E3094"/>
    <w:rsid w:val="00592DCD"/>
    <w:rsid w:val="0077534E"/>
    <w:rsid w:val="007809A0"/>
    <w:rsid w:val="007C4221"/>
    <w:rsid w:val="00B126D0"/>
    <w:rsid w:val="00B41139"/>
    <w:rsid w:val="00BF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231D2"/>
  <w15:chartTrackingRefBased/>
  <w15:docId w15:val="{8E4288CE-0717-4D0A-942F-74347974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139"/>
    <w:pPr>
      <w:ind w:left="720"/>
      <w:contextualSpacing/>
    </w:pPr>
  </w:style>
  <w:style w:type="paragraph" w:styleId="Header">
    <w:name w:val="header"/>
    <w:basedOn w:val="Normal"/>
    <w:link w:val="HeaderChar"/>
    <w:uiPriority w:val="99"/>
    <w:unhideWhenUsed/>
    <w:rsid w:val="007C4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21"/>
  </w:style>
  <w:style w:type="paragraph" w:styleId="Footer">
    <w:name w:val="footer"/>
    <w:basedOn w:val="Normal"/>
    <w:link w:val="FooterChar"/>
    <w:uiPriority w:val="99"/>
    <w:unhideWhenUsed/>
    <w:rsid w:val="007C4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RTAC Colors 2">
      <a:dk1>
        <a:srgbClr val="0D1D34"/>
      </a:dk1>
      <a:lt1>
        <a:srgbClr val="F8F8FF"/>
      </a:lt1>
      <a:dk2>
        <a:srgbClr val="173654"/>
      </a:dk2>
      <a:lt2>
        <a:srgbClr val="DAE7E5"/>
      </a:lt2>
      <a:accent1>
        <a:srgbClr val="00007D"/>
      </a:accent1>
      <a:accent2>
        <a:srgbClr val="C7975E"/>
      </a:accent2>
      <a:accent3>
        <a:srgbClr val="8B8887"/>
      </a:accent3>
      <a:accent4>
        <a:srgbClr val="527E79"/>
      </a:accent4>
      <a:accent5>
        <a:srgbClr val="EFE0CF"/>
      </a:accent5>
      <a:accent6>
        <a:srgbClr val="00007D"/>
      </a:accent6>
      <a:hlink>
        <a:srgbClr val="527E79"/>
      </a:hlink>
      <a:folHlink>
        <a:srgbClr val="C7975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George Washington University</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Pankow, Carol</dc:creator>
  <cp:keywords/>
  <dc:description/>
  <cp:lastModifiedBy>Pankow, Carol</cp:lastModifiedBy>
  <cp:revision>10</cp:revision>
  <dcterms:created xsi:type="dcterms:W3CDTF">2023-03-23T15:15:00Z</dcterms:created>
  <dcterms:modified xsi:type="dcterms:W3CDTF">2023-03-26T22:44:00Z</dcterms:modified>
</cp:coreProperties>
</file>