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F12B1" w14:textId="77777777" w:rsidR="005C21F4" w:rsidRDefault="00D06AD7">
      <w:r>
        <w:rPr>
          <w:noProof/>
        </w:rPr>
        <w:drawing>
          <wp:inline distT="0" distB="0" distL="0" distR="0" wp14:anchorId="06D79B5B" wp14:editId="186FB2A6">
            <wp:extent cx="2048256" cy="749808"/>
            <wp:effectExtent l="0" t="0" r="0" b="0"/>
            <wp:docPr id="2010016927" name="image1.png" descr="VRTAC logo, which contains a U.S. map with the tagline: One Center. One Team. One Mission."/>
            <wp:cNvGraphicFramePr/>
            <a:graphic xmlns:a="http://schemas.openxmlformats.org/drawingml/2006/main">
              <a:graphicData uri="http://schemas.openxmlformats.org/drawingml/2006/picture">
                <pic:pic xmlns:pic="http://schemas.openxmlformats.org/drawingml/2006/picture">
                  <pic:nvPicPr>
                    <pic:cNvPr id="0" name="image1.png" descr="VRTAC logo, which contains a U.S. map with the tagline: One Center. One Team. One Mission."/>
                    <pic:cNvPicPr preferRelativeResize="0"/>
                  </pic:nvPicPr>
                  <pic:blipFill>
                    <a:blip r:embed="rId8"/>
                    <a:srcRect t="5850" b="20744"/>
                    <a:stretch>
                      <a:fillRect/>
                    </a:stretch>
                  </pic:blipFill>
                  <pic:spPr>
                    <a:xfrm>
                      <a:off x="0" y="0"/>
                      <a:ext cx="2048256" cy="749808"/>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102553D0" wp14:editId="0B7CB7B4">
                <wp:simplePos x="0" y="0"/>
                <wp:positionH relativeFrom="column">
                  <wp:posOffset>2040774</wp:posOffset>
                </wp:positionH>
                <wp:positionV relativeFrom="paragraph">
                  <wp:posOffset>337242</wp:posOffset>
                </wp:positionV>
                <wp:extent cx="0" cy="12700"/>
                <wp:effectExtent l="0" t="0" r="0" b="0"/>
                <wp:wrapNone/>
                <wp:docPr id="2010016923" name="Straight Arrow Connector 20100169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769055" y="3780000"/>
                          <a:ext cx="5153890" cy="0"/>
                        </a:xfrm>
                        <a:prstGeom prst="straightConnector1">
                          <a:avLst/>
                        </a:prstGeom>
                        <a:noFill/>
                        <a:ln w="12700" cap="flat" cmpd="sng">
                          <a:solidFill>
                            <a:schemeClr val="accent1"/>
                          </a:solidFill>
                          <a:prstDash val="solid"/>
                          <a:miter lim="800000"/>
                          <a:headEnd type="none" w="sm" len="sm"/>
                          <a:tailEnd type="none" w="sm" len="sm"/>
                        </a:ln>
                      </wps:spPr>
                      <wps:bodyPr/>
                    </wps:wsp>
                  </a:graphicData>
                </a:graphic>
              </wp:anchor>
            </w:drawing>
          </mc:Choice>
          <mc:Fallback>
            <w:pict>
              <v:shapetype w14:anchorId="5AD92D0A" id="_x0000_t32" coordsize="21600,21600" o:spt="32" o:oned="t" path="m,l21600,21600e" filled="f">
                <v:path arrowok="t" fillok="f" o:connecttype="none"/>
                <o:lock v:ext="edit" shapetype="t"/>
              </v:shapetype>
              <v:shape id="Straight Arrow Connector 2010016923" o:spid="_x0000_s1026" type="#_x0000_t32" alt="&quot;&quot;" style="position:absolute;margin-left:160.7pt;margin-top:26.5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" strokecolor="teal [3204]" strokeweight="1pt">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9264" behindDoc="0" locked="0" layoutInCell="1" hidden="0" allowOverlap="1" wp14:anchorId="26C452C3" wp14:editId="4AA0197B">
                <wp:simplePos x="0" y="0"/>
                <wp:positionH relativeFrom="column">
                  <wp:posOffset>-937259</wp:posOffset>
                </wp:positionH>
                <wp:positionV relativeFrom="paragraph">
                  <wp:posOffset>342265</wp:posOffset>
                </wp:positionV>
                <wp:extent cx="0" cy="12700"/>
                <wp:effectExtent l="0" t="0" r="0" b="0"/>
                <wp:wrapNone/>
                <wp:docPr id="2010016922" name="Straight Arrow Connector 20100169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4913883" y="3780000"/>
                          <a:ext cx="864235" cy="0"/>
                        </a:xfrm>
                        <a:prstGeom prst="straightConnector1">
                          <a:avLst/>
                        </a:prstGeom>
                        <a:noFill/>
                        <a:ln w="12700" cap="flat" cmpd="sng">
                          <a:solidFill>
                            <a:schemeClr val="accent1"/>
                          </a:solidFill>
                          <a:prstDash val="solid"/>
                          <a:miter lim="800000"/>
                          <a:headEnd type="none" w="sm" len="sm"/>
                          <a:tailEnd type="none" w="sm" len="sm"/>
                        </a:ln>
                      </wps:spPr>
                      <wps:bodyPr/>
                    </wps:wsp>
                  </a:graphicData>
                </a:graphic>
              </wp:anchor>
            </w:drawing>
          </mc:Choice>
          <mc:Fallback>
            <w:pict>
              <v:shape w14:anchorId="0C22212C" id="Straight Arrow Connector 2010016922" o:spid="_x0000_s1026" type="#_x0000_t32" alt="&quot;&quot;" style="position:absolute;margin-left:-73.8pt;margin-top:26.95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" strokecolor="teal [3204]" strokeweight="1pt">
                <v:stroke startarrowwidth="narrow" startarrowlength="short" endarrowwidth="narrow" endarrowlength="short" joinstyle="miter"/>
              </v:shape>
            </w:pict>
          </mc:Fallback>
        </mc:AlternateContent>
      </w:r>
    </w:p>
    <w:p w14:paraId="6B7CD289" w14:textId="77777777" w:rsidR="004F269E" w:rsidRDefault="00000000">
      <w:pPr>
        <w:pStyle w:val="Title"/>
      </w:pPr>
      <w:r>
        <w:t>Monitoring Preparation Checklist</w:t>
      </w:r>
    </w:p>
    <w:p w14:paraId="27FCABA8" w14:textId="3E1E27DF" w:rsidR="004F269E" w:rsidRDefault="00000000" w:rsidP="00C93636">
      <w:r>
        <w:t>RSA has selected your agency for an upcoming monitoring cycle. Use this checklist in sequence to organize preparation, respond to document requests, participate in preparation calls, manage the onsite review, and complete post-visit requirements.</w:t>
      </w:r>
    </w:p>
    <w:p w14:paraId="23521E4E" w14:textId="77777777" w:rsidR="004F269E" w:rsidRDefault="00000000">
      <w:pPr>
        <w:pStyle w:val="Heading1"/>
      </w:pPr>
      <w:r>
        <w:t>Phase 1: Organize Before the Review</w:t>
      </w:r>
    </w:p>
    <w:p w14:paraId="20615ABF" w14:textId="77777777" w:rsidR="004F269E" w:rsidRDefault="00000000">
      <w:pPr>
        <w:pStyle w:val="Heading2"/>
      </w:pPr>
      <w:r>
        <w:t>Build the preparation team and work plan</w:t>
      </w:r>
    </w:p>
    <w:p w14:paraId="51E32502" w14:textId="77777777" w:rsidR="004F269E" w:rsidRDefault="00000000">
      <w:pPr>
        <w:pStyle w:val="ChecklistItem"/>
        <w:keepLines/>
      </w:pPr>
      <w:proofErr w:type="gramStart"/>
      <w:r>
        <w:rPr>
          <w:rFonts w:ascii="DejaVu Sans" w:hAnsi="DejaVu Sans"/>
        </w:rPr>
        <w:t xml:space="preserve">☐  </w:t>
      </w:r>
      <w:r>
        <w:rPr>
          <w:b/>
        </w:rPr>
        <w:t>Read</w:t>
      </w:r>
      <w:proofErr w:type="gramEnd"/>
      <w:r>
        <w:rPr>
          <w:b/>
        </w:rPr>
        <w:t xml:space="preserve"> the current MTAG from beginning to end.</w:t>
      </w:r>
      <w:r>
        <w:t xml:space="preserve"> Ensure the monitoring preparation team understands RSA's objectives, process, focus areas, appendices, and document instructions.</w:t>
      </w:r>
    </w:p>
    <w:p w14:paraId="120F8C7B" w14:textId="77777777" w:rsidR="004F269E" w:rsidRDefault="00000000">
      <w:pPr>
        <w:pStyle w:val="ChecklistItem"/>
        <w:keepLines/>
      </w:pPr>
      <w:r>
        <w:rPr>
          <w:rFonts w:ascii="DejaVu Sans" w:hAnsi="DejaVu Sans"/>
        </w:rPr>
        <w:t xml:space="preserve">☐  </w:t>
      </w:r>
      <w:r>
        <w:rPr>
          <w:b/>
        </w:rPr>
        <w:t>Designate one monitoring point person.</w:t>
      </w:r>
      <w:r>
        <w:t xml:space="preserve"> Select a highly organized staff member to coordinate communication, timelines, document flow, uploads, meeting logistics, and follow-up requests. When possible, this should not be the agency director.</w:t>
      </w:r>
    </w:p>
    <w:p w14:paraId="798CFA7C" w14:textId="77777777" w:rsidR="004F269E" w:rsidRDefault="00000000">
      <w:pPr>
        <w:pStyle w:val="ChecklistItem"/>
        <w:keepLines/>
      </w:pPr>
      <w:r>
        <w:rPr>
          <w:rFonts w:ascii="DejaVu Sans" w:hAnsi="DejaVu Sans"/>
        </w:rPr>
        <w:t xml:space="preserve">☐  </w:t>
      </w:r>
      <w:r>
        <w:rPr>
          <w:b/>
        </w:rPr>
        <w:t>Assemble a cross-functional preparation team.</w:t>
      </w:r>
      <w:r>
        <w:t xml:space="preserve"> Include program, fiscal, data and performance, quality assurance, policy, contracts and procurement, case management system, leadership, and field staff. A counselor can add an important front-line perspective.</w:t>
      </w:r>
    </w:p>
    <w:p w14:paraId="307262E8" w14:textId="77777777" w:rsidR="004F269E" w:rsidRDefault="00000000">
      <w:pPr>
        <w:pStyle w:val="ChecklistItem"/>
        <w:keepLines/>
      </w:pPr>
      <w:r>
        <w:rPr>
          <w:rFonts w:ascii="DejaVu Sans" w:hAnsi="DejaVu Sans"/>
        </w:rPr>
        <w:t xml:space="preserve">☐  </w:t>
      </w:r>
      <w:r>
        <w:rPr>
          <w:b/>
        </w:rPr>
        <w:t>Name program/performance and fiscal track leads.</w:t>
      </w:r>
      <w:r>
        <w:t xml:space="preserve"> Confirm who can explain agency practices, answer questions, and make or obtain decisions when sessions occur simultaneously.</w:t>
      </w:r>
    </w:p>
    <w:p w14:paraId="2F491B80" w14:textId="77777777" w:rsidR="004F269E" w:rsidRDefault="00000000">
      <w:pPr>
        <w:pStyle w:val="ChecklistItem"/>
        <w:keepLines/>
      </w:pPr>
      <w:r>
        <w:rPr>
          <w:rFonts w:ascii="DejaVu Sans" w:hAnsi="DejaVu Sans"/>
        </w:rPr>
        <w:t xml:space="preserve">☐  </w:t>
      </w:r>
      <w:r>
        <w:rPr>
          <w:b/>
        </w:rPr>
        <w:t>Assign note-takers and backup staff.</w:t>
      </w:r>
      <w:r>
        <w:t xml:space="preserve"> Plan for consistent notes, request tracking, and coverage if key personnel are unavailable.</w:t>
      </w:r>
    </w:p>
    <w:p w14:paraId="22B0C057" w14:textId="77777777" w:rsidR="004F269E" w:rsidRDefault="00000000">
      <w:pPr>
        <w:pStyle w:val="ChecklistItem"/>
        <w:keepLines/>
      </w:pPr>
      <w:r>
        <w:rPr>
          <w:rFonts w:ascii="DejaVu Sans" w:hAnsi="DejaVu Sans"/>
        </w:rPr>
        <w:t xml:space="preserve">☐  </w:t>
      </w:r>
      <w:r>
        <w:rPr>
          <w:b/>
        </w:rPr>
        <w:t>Establish a preparation calendar and recurring internal meetings.</w:t>
      </w:r>
      <w:r>
        <w:t xml:space="preserve"> Work backward from RSA deadlines and build in time for internal review, corrections, and leadership approval.</w:t>
      </w:r>
    </w:p>
    <w:p w14:paraId="71CF7DFA" w14:textId="25EC59D3" w:rsidR="004F269E" w:rsidRDefault="00000000">
      <w:pPr>
        <w:pStyle w:val="ChecklistItem"/>
        <w:keepLines/>
      </w:pPr>
      <w:r>
        <w:rPr>
          <w:rFonts w:ascii="DejaVu Sans" w:hAnsi="DejaVu Sans"/>
        </w:rPr>
        <w:t xml:space="preserve">☐  </w:t>
      </w:r>
      <w:r>
        <w:rPr>
          <w:b/>
        </w:rPr>
        <w:t>Join the Monitoring Community of Practice and identify technical assistance partners.</w:t>
      </w:r>
      <w:r>
        <w:t xml:space="preserve"> Engage the VRTAC, NTACT:C, or other appropriate technical assistance partners early and determine whether they will participate during the review.</w:t>
      </w:r>
    </w:p>
    <w:p w14:paraId="4020DEC0" w14:textId="77777777" w:rsidR="004F269E" w:rsidRDefault="00000000">
      <w:pPr>
        <w:pStyle w:val="ChecklistItem"/>
        <w:keepLines/>
      </w:pPr>
      <w:r>
        <w:rPr>
          <w:rFonts w:ascii="DejaVu Sans" w:hAnsi="DejaVu Sans"/>
        </w:rPr>
        <w:t xml:space="preserve">☐  </w:t>
      </w:r>
      <w:r>
        <w:rPr>
          <w:b/>
        </w:rPr>
        <w:t>Review prior oversight and corrective actions.</w:t>
      </w:r>
      <w:r>
        <w:t xml:space="preserve"> Examine the agency's previous RSA monitoring report, corrective action plan, and any open or recent State Single Audit findings. Confirm that corrective actions remain implemented and effective.</w:t>
      </w:r>
    </w:p>
    <w:p w14:paraId="480E3A33" w14:textId="77777777" w:rsidR="004F269E" w:rsidRDefault="00000000">
      <w:pPr>
        <w:pStyle w:val="ChecklistItem"/>
        <w:keepLines/>
      </w:pPr>
      <w:r>
        <w:rPr>
          <w:rFonts w:ascii="DejaVu Sans" w:hAnsi="DejaVu Sans"/>
        </w:rPr>
        <w:t xml:space="preserve">☐  </w:t>
      </w:r>
      <w:r>
        <w:rPr>
          <w:b/>
        </w:rPr>
        <w:t>Communicate with agency staff.</w:t>
      </w:r>
      <w:r>
        <w:t xml:space="preserve"> Explain the purpose and anticipated timeline of monitoring, set a constructive tone, and refresh training on policies and procedures when appropriate.</w:t>
      </w:r>
    </w:p>
    <w:p w14:paraId="64DB972F" w14:textId="77777777" w:rsidR="004F269E" w:rsidRDefault="00000000">
      <w:pPr>
        <w:pStyle w:val="Heading2"/>
      </w:pPr>
      <w:r>
        <w:t>Review the required focus areas and agency context</w:t>
      </w:r>
    </w:p>
    <w:p w14:paraId="5743CC0D" w14:textId="77777777" w:rsidR="004F269E" w:rsidRDefault="00000000">
      <w:pPr>
        <w:pStyle w:val="ChecklistItem"/>
        <w:keepLines/>
      </w:pPr>
      <w:r>
        <w:rPr>
          <w:rFonts w:ascii="DejaVu Sans" w:hAnsi="DejaVu Sans"/>
        </w:rPr>
        <w:t xml:space="preserve">☐  </w:t>
      </w:r>
      <w:r>
        <w:rPr>
          <w:b/>
        </w:rPr>
        <w:t>Program and performance staff: read the MTAG focus area titled 'Performance of the State Vocational Rehabilitation Services and State Supported Employment Services Programs.'</w:t>
      </w:r>
      <w:r>
        <w:t xml:space="preserve"> Review the related agency profile and performance tables and be prepared to discuss trends, service patterns, outcomes, policies, and data quality.</w:t>
      </w:r>
    </w:p>
    <w:p w14:paraId="5EF7F0BA" w14:textId="77777777" w:rsidR="004F269E" w:rsidRDefault="00000000">
      <w:pPr>
        <w:pStyle w:val="ChecklistItem"/>
        <w:keepLines/>
      </w:pPr>
      <w:r>
        <w:rPr>
          <w:rFonts w:ascii="DejaVu Sans" w:hAnsi="DejaVu Sans"/>
        </w:rPr>
        <w:t xml:space="preserve">☐  </w:t>
      </w:r>
      <w:r>
        <w:rPr>
          <w:b/>
        </w:rPr>
        <w:t>Fiscal staff: read the MTAG focus area titled 'Financial Management of the State Vocational Rehabilitation Services and State Supported Employment Services Programs.'</w:t>
      </w:r>
      <w:r>
        <w:t xml:space="preserve"> Review the related fiscal tables and be prepared to explain the agency's financial systems, internal controls, grant management, and fiscal data.</w:t>
      </w:r>
    </w:p>
    <w:p w14:paraId="68DAFFE3" w14:textId="77777777" w:rsidR="004F269E" w:rsidRDefault="00000000">
      <w:pPr>
        <w:pStyle w:val="ChecklistItem"/>
        <w:keepLines/>
      </w:pPr>
      <w:r>
        <w:rPr>
          <w:rFonts w:ascii="DejaVu Sans" w:hAnsi="DejaVu Sans"/>
        </w:rPr>
        <w:t xml:space="preserve">☐  </w:t>
      </w:r>
      <w:r>
        <w:rPr>
          <w:b/>
        </w:rPr>
        <w:t>Review the agency's current context.</w:t>
      </w:r>
      <w:r>
        <w:t xml:space="preserve"> Be prepared to discuss organizational structure, staff capacity and vacancies, goals and priorities, economic conditions, labor markets, provider capacity, and other factors affecting performance.</w:t>
      </w:r>
    </w:p>
    <w:p w14:paraId="34978C05" w14:textId="77777777" w:rsidR="004F269E" w:rsidRDefault="00000000">
      <w:pPr>
        <w:pStyle w:val="ChecklistItem"/>
        <w:keepLines/>
      </w:pPr>
      <w:r>
        <w:rPr>
          <w:rFonts w:ascii="DejaVu Sans" w:hAnsi="DejaVu Sans"/>
        </w:rPr>
        <w:lastRenderedPageBreak/>
        <w:t xml:space="preserve">☐  </w:t>
      </w:r>
      <w:r>
        <w:rPr>
          <w:b/>
        </w:rPr>
        <w:t>Identify questions and technical assistance needs.</w:t>
      </w:r>
      <w:r>
        <w:t xml:space="preserve"> Develop a shared list of topics the agency wants to discuss with RSA during preparation calls and the review.</w:t>
      </w:r>
    </w:p>
    <w:p w14:paraId="34E36C84" w14:textId="77777777" w:rsidR="004F269E" w:rsidRDefault="00000000">
      <w:pPr>
        <w:pStyle w:val="TipBox"/>
        <w:keepLines/>
      </w:pPr>
      <w:r>
        <w:rPr>
          <w:b/>
          <w:color w:val="006666"/>
        </w:rPr>
        <w:t xml:space="preserve">Communication tip: </w:t>
      </w:r>
      <w:r>
        <w:t>Do not assume agency staff and RSA use the same terminology. Explain State-specific titles, acronyms, system names, and processes in plain VR language. Clear explanations reduce the risk of misunderstandings.</w:t>
      </w:r>
    </w:p>
    <w:p w14:paraId="13C6CF7C" w14:textId="77777777" w:rsidR="004F269E" w:rsidRDefault="00000000">
      <w:pPr>
        <w:pStyle w:val="Heading1"/>
      </w:pPr>
      <w:r>
        <w:t>Phase 2: Respond to the Document Request</w:t>
      </w:r>
    </w:p>
    <w:p w14:paraId="4D127F1E" w14:textId="77777777" w:rsidR="004F269E" w:rsidRDefault="00000000">
      <w:pPr>
        <w:pStyle w:val="Heading2"/>
      </w:pPr>
      <w:r>
        <w:t>Set up a controlled submission process</w:t>
      </w:r>
    </w:p>
    <w:p w14:paraId="59A38F25" w14:textId="77777777" w:rsidR="004F269E" w:rsidRDefault="00000000">
      <w:pPr>
        <w:pStyle w:val="ChecklistItem"/>
        <w:keepLines/>
      </w:pPr>
      <w:r>
        <w:rPr>
          <w:rFonts w:ascii="DejaVu Sans" w:hAnsi="DejaVu Sans"/>
        </w:rPr>
        <w:t xml:space="preserve">☐  </w:t>
      </w:r>
      <w:r>
        <w:rPr>
          <w:b/>
        </w:rPr>
        <w:t>Read every document-request instruction thoroughly.</w:t>
      </w:r>
      <w:r>
        <w:t xml:space="preserve"> Review the request as a team, identify what each item requires, and ask the appropriate RSA representative to clarify anything that is unclear before assembling the response.</w:t>
      </w:r>
    </w:p>
    <w:p w14:paraId="72B751D5" w14:textId="77777777" w:rsidR="004F269E" w:rsidRDefault="00000000">
      <w:pPr>
        <w:pStyle w:val="ChecklistItem"/>
        <w:keepLines/>
      </w:pPr>
      <w:r>
        <w:rPr>
          <w:rFonts w:ascii="DejaVu Sans" w:hAnsi="DejaVu Sans"/>
        </w:rPr>
        <w:t xml:space="preserve">☐  </w:t>
      </w:r>
      <w:r>
        <w:rPr>
          <w:b/>
        </w:rPr>
        <w:t>Confirm the review periods and grant years.</w:t>
      </w:r>
      <w:r>
        <w:t xml:space="preserve"> Make sure everyone understands the Federal fiscal years, awards, reporting periods, and other dates covered by each request.</w:t>
      </w:r>
    </w:p>
    <w:p w14:paraId="7DCB5EF2" w14:textId="77777777" w:rsidR="004F269E" w:rsidRDefault="00000000">
      <w:pPr>
        <w:pStyle w:val="ChecklistItem"/>
        <w:keepLines/>
      </w:pPr>
      <w:r>
        <w:rPr>
          <w:rFonts w:ascii="DejaVu Sans" w:hAnsi="DejaVu Sans"/>
        </w:rPr>
        <w:t xml:space="preserve">☐  </w:t>
      </w:r>
      <w:r>
        <w:rPr>
          <w:b/>
        </w:rPr>
        <w:t>Use the secure submission method identified by RSA.</w:t>
      </w:r>
      <w:r>
        <w:t xml:space="preserve"> Coordinate access for staff who will upload or review materials and verify that RSA can open the submitted files.</w:t>
      </w:r>
    </w:p>
    <w:p w14:paraId="7E0672CE" w14:textId="77777777" w:rsidR="004F269E" w:rsidRDefault="00000000">
      <w:pPr>
        <w:pStyle w:val="ChecklistItem"/>
        <w:keepLines/>
      </w:pPr>
      <w:r>
        <w:rPr>
          <w:rFonts w:ascii="DejaVu Sans" w:hAnsi="DejaVu Sans"/>
        </w:rPr>
        <w:t xml:space="preserve">☐  </w:t>
      </w:r>
      <w:r>
        <w:rPr>
          <w:b/>
        </w:rPr>
        <w:t>Create a master document tracker.</w:t>
      </w:r>
      <w:r>
        <w:t xml:space="preserve"> Track the request number, required item, responsible staff member, internal due date, file name, quality review, upload date, and any follow-up request.</w:t>
      </w:r>
    </w:p>
    <w:p w14:paraId="586F43A4" w14:textId="77777777" w:rsidR="004F269E" w:rsidRDefault="00000000">
      <w:pPr>
        <w:pStyle w:val="ChecklistItem"/>
        <w:keepLines/>
      </w:pPr>
      <w:r>
        <w:rPr>
          <w:rFonts w:ascii="DejaVu Sans" w:hAnsi="DejaVu Sans"/>
        </w:rPr>
        <w:t xml:space="preserve">☐  </w:t>
      </w:r>
      <w:r>
        <w:rPr>
          <w:b/>
        </w:rPr>
        <w:t>Follow RSA's labeling and organization instructions.</w:t>
      </w:r>
      <w:r>
        <w:t xml:space="preserve"> Match file names and folders to the applicable Appendix B request numbers and organize fiscal information by Federal fiscal year when instructed.</w:t>
      </w:r>
    </w:p>
    <w:p w14:paraId="3F82DFB1" w14:textId="77777777" w:rsidR="004F269E" w:rsidRDefault="00000000">
      <w:pPr>
        <w:pStyle w:val="ChecklistItem"/>
        <w:keepLines/>
      </w:pPr>
      <w:r>
        <w:rPr>
          <w:rFonts w:ascii="DejaVu Sans" w:hAnsi="DejaVu Sans"/>
        </w:rPr>
        <w:t xml:space="preserve">☐  </w:t>
      </w:r>
      <w:r>
        <w:rPr>
          <w:b/>
        </w:rPr>
        <w:t>Submit accessible, searchable documents.</w:t>
      </w:r>
      <w:r>
        <w:t xml:space="preserve"> Use the original electronic file when available, provide meaningful file names, use true headings and lists, and avoid image-only scans. If a scan is necessary, apply accurate optical character recognition and check the reading order.</w:t>
      </w:r>
    </w:p>
    <w:p w14:paraId="1ACC5F79" w14:textId="77777777" w:rsidR="004F269E" w:rsidRDefault="00000000">
      <w:pPr>
        <w:pStyle w:val="ChecklistItem"/>
        <w:keepLines/>
      </w:pPr>
      <w:r>
        <w:rPr>
          <w:rFonts w:ascii="DejaVu Sans" w:hAnsi="DejaVu Sans"/>
        </w:rPr>
        <w:t xml:space="preserve">☐  </w:t>
      </w:r>
      <w:r>
        <w:rPr>
          <w:b/>
        </w:rPr>
        <w:t>Use page numbers or other stable reference points.</w:t>
      </w:r>
      <w:r>
        <w:t xml:space="preserve"> Make it easy for agency staff and RSA reviewers to locate the same information during discussions.</w:t>
      </w:r>
    </w:p>
    <w:p w14:paraId="2D775417" w14:textId="77777777" w:rsidR="004F269E" w:rsidRDefault="00000000">
      <w:pPr>
        <w:pStyle w:val="ChecklistItem"/>
        <w:keepLines/>
      </w:pPr>
      <w:r>
        <w:rPr>
          <w:rFonts w:ascii="DejaVu Sans" w:hAnsi="DejaVu Sans"/>
        </w:rPr>
        <w:t xml:space="preserve">☐  </w:t>
      </w:r>
      <w:r>
        <w:rPr>
          <w:b/>
        </w:rPr>
        <w:t>Check for personally identifiable information.</w:t>
      </w:r>
      <w:r>
        <w:t xml:space="preserve"> Remove or protect names, Social Security numbers, and other information that is not required for the review, consistent with RSA's instructions and agency policy.</w:t>
      </w:r>
    </w:p>
    <w:p w14:paraId="55E1B37F" w14:textId="77777777" w:rsidR="004F269E" w:rsidRDefault="00000000">
      <w:pPr>
        <w:pStyle w:val="ChecklistItem"/>
        <w:keepLines/>
      </w:pPr>
      <w:r>
        <w:rPr>
          <w:rFonts w:ascii="DejaVu Sans" w:hAnsi="DejaVu Sans"/>
        </w:rPr>
        <w:t xml:space="preserve">☐  </w:t>
      </w:r>
      <w:r>
        <w:rPr>
          <w:b/>
        </w:rPr>
        <w:t>Use a second-person quality review.</w:t>
      </w:r>
      <w:r>
        <w:t xml:space="preserve"> Confirm that each file is complete, readable, correctly labeled, accessible, and responsive to the request before upload.</w:t>
      </w:r>
    </w:p>
    <w:p w14:paraId="4EAFF15E" w14:textId="77777777" w:rsidR="004F269E" w:rsidRDefault="00000000">
      <w:pPr>
        <w:pStyle w:val="ChecklistItem"/>
        <w:keepLines/>
      </w:pPr>
      <w:r>
        <w:rPr>
          <w:rFonts w:ascii="DejaVu Sans" w:hAnsi="DejaVu Sans"/>
        </w:rPr>
        <w:t xml:space="preserve">☐  </w:t>
      </w:r>
      <w:r>
        <w:rPr>
          <w:b/>
        </w:rPr>
        <w:t>Address documentation gaps honestly.</w:t>
      </w:r>
      <w:r>
        <w:t xml:space="preserve"> If a requested policy, procedure, record, or other item did not exist during the period under review, state that clearly. Do not create a document after the fact and present it as if it had been in place.</w:t>
      </w:r>
    </w:p>
    <w:p w14:paraId="4ECB8202" w14:textId="77777777" w:rsidR="004F269E" w:rsidRDefault="00000000">
      <w:pPr>
        <w:pStyle w:val="Heading2"/>
      </w:pPr>
      <w:r>
        <w:t>Submit complete contract sample sets</w:t>
      </w:r>
    </w:p>
    <w:p w14:paraId="70475EEA" w14:textId="77777777" w:rsidR="004F269E" w:rsidRDefault="00000000">
      <w:pPr>
        <w:pStyle w:val="ChecklistItem"/>
        <w:keepLines/>
      </w:pPr>
      <w:r>
        <w:rPr>
          <w:rFonts w:ascii="DejaVu Sans" w:hAnsi="DejaVu Sans"/>
        </w:rPr>
        <w:t xml:space="preserve">☐  </w:t>
      </w:r>
      <w:r>
        <w:rPr>
          <w:b/>
        </w:rPr>
        <w:t>Contact the SMPID review team's fiscal representative.</w:t>
      </w:r>
      <w:r>
        <w:t xml:space="preserve"> Confirm which contract sample sets the agency must submit before gathering the files.</w:t>
      </w:r>
    </w:p>
    <w:p w14:paraId="7D112F30" w14:textId="25CD4620" w:rsidR="004F269E" w:rsidRDefault="00000000">
      <w:pPr>
        <w:pStyle w:val="ChecklistItem"/>
        <w:keepNext/>
        <w:keepLines/>
      </w:pPr>
      <w:r>
        <w:rPr>
          <w:rFonts w:ascii="DejaVu Sans" w:hAnsi="DejaVu Sans"/>
        </w:rPr>
        <w:lastRenderedPageBreak/>
        <w:t xml:space="preserve">☐  </w:t>
      </w:r>
      <w:r>
        <w:rPr>
          <w:b/>
        </w:rPr>
        <w:t>For each requested contract sample, submit the complete record when applicable.</w:t>
      </w:r>
      <w:r>
        <w:t xml:space="preserve"> Include all appendices, exhibits, attachments, and other materials incorporated into the contract so the agency and RSA are reviewing the same complete agreement.</w:t>
      </w:r>
      <w:r w:rsidR="00C93636">
        <w:t xml:space="preserve"> As applicable, include these items:</w:t>
      </w:r>
    </w:p>
    <w:p w14:paraId="174C5221" w14:textId="77777777" w:rsidR="004F269E" w:rsidRDefault="00000000">
      <w:pPr>
        <w:pStyle w:val="ChecklistSubitem"/>
        <w:keepNext/>
        <w:keepLines/>
      </w:pPr>
      <w:r>
        <w:rPr>
          <w:sz w:val="20"/>
        </w:rPr>
        <w:t>•  Announcement.</w:t>
      </w:r>
    </w:p>
    <w:p w14:paraId="65F7820B" w14:textId="77777777" w:rsidR="004F269E" w:rsidRDefault="00000000">
      <w:pPr>
        <w:pStyle w:val="ChecklistSubitem"/>
        <w:keepNext/>
        <w:keepLines/>
      </w:pPr>
      <w:r>
        <w:rPr>
          <w:sz w:val="20"/>
        </w:rPr>
        <w:t>•  Request for proposal or bid materials.</w:t>
      </w:r>
    </w:p>
    <w:p w14:paraId="6344D9D4" w14:textId="77777777" w:rsidR="004F269E" w:rsidRDefault="00000000">
      <w:pPr>
        <w:pStyle w:val="ChecklistSubitem"/>
        <w:keepNext/>
        <w:keepLines/>
      </w:pPr>
      <w:r>
        <w:rPr>
          <w:sz w:val="20"/>
        </w:rPr>
        <w:t>•  Original contract, including appendices, exhibits, scopes of work, rate schedules, and referenced attachments.</w:t>
      </w:r>
    </w:p>
    <w:p w14:paraId="63658131" w14:textId="77777777" w:rsidR="004F269E" w:rsidRDefault="00000000">
      <w:pPr>
        <w:pStyle w:val="ChecklistSubitem"/>
        <w:keepNext/>
        <w:keepLines/>
      </w:pPr>
      <w:r>
        <w:rPr>
          <w:sz w:val="20"/>
        </w:rPr>
        <w:t>•  All amendments and modifications.</w:t>
      </w:r>
    </w:p>
    <w:p w14:paraId="481A1336" w14:textId="77777777" w:rsidR="004F269E" w:rsidRDefault="00000000">
      <w:pPr>
        <w:pStyle w:val="ChecklistSubitem"/>
        <w:keepNext/>
        <w:keepLines/>
      </w:pPr>
      <w:r>
        <w:rPr>
          <w:sz w:val="20"/>
        </w:rPr>
        <w:t>•  Authorizations.</w:t>
      </w:r>
    </w:p>
    <w:p w14:paraId="2B5FD35D" w14:textId="77777777" w:rsidR="004F269E" w:rsidRDefault="00000000">
      <w:pPr>
        <w:pStyle w:val="ChecklistSubitem"/>
        <w:keepNext/>
        <w:keepLines/>
      </w:pPr>
      <w:r>
        <w:rPr>
          <w:sz w:val="20"/>
        </w:rPr>
        <w:t>•  Invoices and payment approvals.</w:t>
      </w:r>
    </w:p>
    <w:p w14:paraId="163C5AF9" w14:textId="77777777" w:rsidR="004F269E" w:rsidRDefault="00000000">
      <w:pPr>
        <w:pStyle w:val="ChecklistSubitem"/>
        <w:keepNext/>
        <w:keepLines/>
      </w:pPr>
      <w:r>
        <w:rPr>
          <w:sz w:val="20"/>
        </w:rPr>
        <w:t>•  Monthly and quarterly reports.</w:t>
      </w:r>
    </w:p>
    <w:p w14:paraId="247AC12D" w14:textId="77777777" w:rsidR="004F269E" w:rsidRDefault="00000000">
      <w:pPr>
        <w:pStyle w:val="ChecklistSubitem"/>
        <w:keepNext/>
        <w:keepLines/>
      </w:pPr>
      <w:r>
        <w:rPr>
          <w:sz w:val="20"/>
        </w:rPr>
        <w:t>•  Documentation verifying performance.</w:t>
      </w:r>
    </w:p>
    <w:p w14:paraId="1451901A" w14:textId="77777777" w:rsidR="004F269E" w:rsidRDefault="00000000">
      <w:pPr>
        <w:pStyle w:val="ChecklistSubitem"/>
        <w:keepNext/>
        <w:keepLines/>
      </w:pPr>
      <w:r>
        <w:rPr>
          <w:sz w:val="20"/>
        </w:rPr>
        <w:t>•  Corrective actions, if applicable.</w:t>
      </w:r>
    </w:p>
    <w:p w14:paraId="1811E421" w14:textId="77777777" w:rsidR="004F269E" w:rsidRDefault="00000000">
      <w:pPr>
        <w:pStyle w:val="ChecklistSubitem"/>
        <w:keepNext/>
        <w:keepLines/>
      </w:pPr>
      <w:r>
        <w:rPr>
          <w:sz w:val="20"/>
        </w:rPr>
        <w:t>•  Final output or deliverable.</w:t>
      </w:r>
    </w:p>
    <w:p w14:paraId="01697FB0" w14:textId="77777777" w:rsidR="004F269E" w:rsidRDefault="00000000">
      <w:pPr>
        <w:pStyle w:val="ChecklistSubitem"/>
        <w:keepLines/>
      </w:pPr>
      <w:r>
        <w:rPr>
          <w:sz w:val="20"/>
        </w:rPr>
        <w:t>•  Final reconciliation.</w:t>
      </w:r>
    </w:p>
    <w:p w14:paraId="4754312B" w14:textId="77777777" w:rsidR="004F269E" w:rsidRDefault="00000000">
      <w:pPr>
        <w:pStyle w:val="ChecklistItem"/>
        <w:keepLines/>
      </w:pPr>
      <w:r>
        <w:rPr>
          <w:rFonts w:ascii="DejaVu Sans" w:hAnsi="DejaVu Sans"/>
        </w:rPr>
        <w:t xml:space="preserve">☐  </w:t>
      </w:r>
      <w:r>
        <w:rPr>
          <w:b/>
        </w:rPr>
        <w:t>Check the sequence and completeness of each contract sample set.</w:t>
      </w:r>
      <w:r>
        <w:t xml:space="preserve"> Use a short index or cover sheet when the relationship among the solicitation, contract, amendments, invoices, reports, outputs, and reconciliation is not immediately clear.</w:t>
      </w:r>
    </w:p>
    <w:p w14:paraId="03EF1B3D" w14:textId="77777777" w:rsidR="004F269E" w:rsidRDefault="00000000">
      <w:pPr>
        <w:pStyle w:val="Heading1"/>
      </w:pPr>
      <w:r>
        <w:t>Phase 3: Prepare for RSA Calls and the Onsite Agenda</w:t>
      </w:r>
    </w:p>
    <w:p w14:paraId="06F49F39" w14:textId="77777777" w:rsidR="004F269E" w:rsidRDefault="00000000">
      <w:pPr>
        <w:pStyle w:val="Heading2"/>
      </w:pPr>
      <w:r>
        <w:t>Prepare for preliminary and pre-onsite calls</w:t>
      </w:r>
    </w:p>
    <w:p w14:paraId="718CF9B0" w14:textId="77777777" w:rsidR="004F269E" w:rsidRDefault="00000000">
      <w:pPr>
        <w:pStyle w:val="ChecklistItem"/>
        <w:keepLines/>
      </w:pPr>
      <w:r>
        <w:rPr>
          <w:rFonts w:ascii="DejaVu Sans" w:hAnsi="DejaVu Sans"/>
        </w:rPr>
        <w:t xml:space="preserve">☐  </w:t>
      </w:r>
      <w:r>
        <w:rPr>
          <w:b/>
        </w:rPr>
        <w:t>Confirm the appropriate attendees.</w:t>
      </w:r>
      <w:r>
        <w:t xml:space="preserve"> Ensure agency leadership, the monitoring point person, track leads, and staff needed for the planned topics are available.</w:t>
      </w:r>
    </w:p>
    <w:p w14:paraId="4853C6AE" w14:textId="77777777" w:rsidR="004F269E" w:rsidRDefault="00000000">
      <w:pPr>
        <w:pStyle w:val="ChecklistItem"/>
        <w:keepLines/>
      </w:pPr>
      <w:r>
        <w:rPr>
          <w:rFonts w:ascii="DejaVu Sans" w:hAnsi="DejaVu Sans"/>
        </w:rPr>
        <w:t xml:space="preserve">☐  </w:t>
      </w:r>
      <w:r>
        <w:rPr>
          <w:b/>
        </w:rPr>
        <w:t>Prepare a concise agency overview.</w:t>
      </w:r>
      <w:r>
        <w:t xml:space="preserve"> Be ready to explain organizational structure, staff capacity, agency priorities, key challenges, State-specific context, and recent changes.</w:t>
      </w:r>
    </w:p>
    <w:p w14:paraId="50F9D0DC" w14:textId="77777777" w:rsidR="004F269E" w:rsidRDefault="00000000">
      <w:pPr>
        <w:pStyle w:val="ChecklistItem"/>
        <w:keepLines/>
      </w:pPr>
      <w:r>
        <w:rPr>
          <w:rFonts w:ascii="DejaVu Sans" w:hAnsi="DejaVu Sans"/>
        </w:rPr>
        <w:t xml:space="preserve">☐  </w:t>
      </w:r>
      <w:r>
        <w:rPr>
          <w:b/>
        </w:rPr>
        <w:t>Prepare to discuss performance and fiscal trends.</w:t>
      </w:r>
      <w:r>
        <w:t xml:space="preserve"> Know the information in the MTAG tables and be ready to explain significant trends, anomalies, limitations, and agency actions.</w:t>
      </w:r>
    </w:p>
    <w:p w14:paraId="1ACE64FC" w14:textId="77777777" w:rsidR="004F269E" w:rsidRDefault="00000000">
      <w:pPr>
        <w:pStyle w:val="ChecklistItem"/>
        <w:keepLines/>
      </w:pPr>
      <w:r>
        <w:rPr>
          <w:rFonts w:ascii="DejaVu Sans" w:hAnsi="DejaVu Sans"/>
        </w:rPr>
        <w:t xml:space="preserve">☐  </w:t>
      </w:r>
      <w:r>
        <w:rPr>
          <w:b/>
        </w:rPr>
        <w:t>Discuss technical assistance needs.</w:t>
      </w:r>
      <w:r>
        <w:t xml:space="preserve"> Identify questions that would help the agency strengthen program, performance, fiscal, data, policy, or operational practices.</w:t>
      </w:r>
    </w:p>
    <w:p w14:paraId="7B04E1F3" w14:textId="77777777" w:rsidR="004F269E" w:rsidRDefault="00000000">
      <w:pPr>
        <w:pStyle w:val="ChecklistItem"/>
        <w:keepLines/>
      </w:pPr>
      <w:r>
        <w:rPr>
          <w:rFonts w:ascii="DejaVu Sans" w:hAnsi="DejaVu Sans"/>
        </w:rPr>
        <w:t xml:space="preserve">☐  </w:t>
      </w:r>
      <w:r>
        <w:rPr>
          <w:b/>
        </w:rPr>
        <w:t>Confirm proposed dates, participants, and participation methods.</w:t>
      </w:r>
      <w:r>
        <w:t xml:space="preserve"> Identify onsite and virtual participants and raise scheduling conflicts, accessibility needs, or accommodation needs early.</w:t>
      </w:r>
    </w:p>
    <w:p w14:paraId="055D0F48" w14:textId="77777777" w:rsidR="004F269E" w:rsidRDefault="00000000">
      <w:pPr>
        <w:pStyle w:val="ChecklistItem"/>
        <w:keepLines/>
      </w:pPr>
      <w:r>
        <w:rPr>
          <w:rFonts w:ascii="DejaVu Sans" w:hAnsi="DejaVu Sans"/>
        </w:rPr>
        <w:t xml:space="preserve">☐  </w:t>
      </w:r>
      <w:r>
        <w:rPr>
          <w:b/>
        </w:rPr>
        <w:t>Document commitments and new requests from each call.</w:t>
      </w:r>
      <w:r>
        <w:t xml:space="preserve"> Update the master tracker, assign owners, and confirm deadlines and submission methods.</w:t>
      </w:r>
    </w:p>
    <w:p w14:paraId="5E1FF520" w14:textId="77777777" w:rsidR="004F269E" w:rsidRDefault="00000000">
      <w:pPr>
        <w:pStyle w:val="Heading2"/>
      </w:pPr>
      <w:r>
        <w:t>Review and map the onsite agenda</w:t>
      </w:r>
    </w:p>
    <w:p w14:paraId="0B0BC0C4" w14:textId="77777777" w:rsidR="004F269E" w:rsidRDefault="00000000">
      <w:pPr>
        <w:pStyle w:val="ChecklistItem"/>
        <w:keepLines/>
      </w:pPr>
      <w:r>
        <w:rPr>
          <w:rFonts w:ascii="DejaVu Sans" w:hAnsi="DejaVu Sans"/>
        </w:rPr>
        <w:t xml:space="preserve">☐  </w:t>
      </w:r>
      <w:r>
        <w:rPr>
          <w:b/>
        </w:rPr>
        <w:t>Review the onsite agenda as soon as it is received.</w:t>
      </w:r>
      <w:r>
        <w:t xml:space="preserve"> Confirm that the right agency representatives and external partners are scheduled for each session. Ask the RSA team about missing or unclear topics.</w:t>
      </w:r>
    </w:p>
    <w:p w14:paraId="5CEEE782" w14:textId="77777777" w:rsidR="004F269E" w:rsidRDefault="00000000">
      <w:pPr>
        <w:pStyle w:val="ChecklistItem"/>
        <w:keepLines/>
      </w:pPr>
      <w:r>
        <w:rPr>
          <w:rFonts w:ascii="DejaVu Sans" w:hAnsi="DejaVu Sans"/>
        </w:rPr>
        <w:t xml:space="preserve">☐  </w:t>
      </w:r>
      <w:r>
        <w:rPr>
          <w:b/>
        </w:rPr>
        <w:t>Plan for simultaneous program/performance and fiscal sessions.</w:t>
      </w:r>
      <w:r>
        <w:t xml:space="preserve"> Map where the director and key staff are most needed, identify track leads with authority to speak for the agency, and assign backup coverage.</w:t>
      </w:r>
    </w:p>
    <w:p w14:paraId="54344AEE" w14:textId="77777777" w:rsidR="004F269E" w:rsidRDefault="00000000">
      <w:pPr>
        <w:pStyle w:val="ChecklistItem"/>
        <w:keepLines/>
      </w:pPr>
      <w:r>
        <w:rPr>
          <w:rFonts w:ascii="DejaVu Sans" w:hAnsi="DejaVu Sans"/>
        </w:rPr>
        <w:t xml:space="preserve">☐  </w:t>
      </w:r>
      <w:r>
        <w:rPr>
          <w:b/>
        </w:rPr>
        <w:t>Schedule stakeholder participation.</w:t>
      </w:r>
      <w:r>
        <w:t xml:space="preserve"> Confirm the availability and roles of the Designated State Agency, State Rehabilitation Council, Client Assistance Program, WIOA partners, and other participants identified by RSA.</w:t>
      </w:r>
    </w:p>
    <w:p w14:paraId="752B6B18" w14:textId="77777777" w:rsidR="004F269E" w:rsidRDefault="00000000">
      <w:pPr>
        <w:pStyle w:val="ChecklistItem"/>
        <w:keepLines/>
      </w:pPr>
      <w:r>
        <w:rPr>
          <w:rFonts w:ascii="DejaVu Sans" w:hAnsi="DejaVu Sans"/>
        </w:rPr>
        <w:t xml:space="preserve">☐  </w:t>
      </w:r>
      <w:r>
        <w:rPr>
          <w:b/>
        </w:rPr>
        <w:t>Distribute the final agenda and instructions.</w:t>
      </w:r>
      <w:r>
        <w:t xml:space="preserve"> Provide each participant with the session time, room or virtual link, purpose, expected role, materials to review, and contact person.</w:t>
      </w:r>
    </w:p>
    <w:p w14:paraId="1DB8615F" w14:textId="77777777" w:rsidR="004F269E" w:rsidRDefault="00000000">
      <w:pPr>
        <w:pStyle w:val="Heading1"/>
      </w:pPr>
      <w:r>
        <w:lastRenderedPageBreak/>
        <w:t>Phase 4: Prepare for and Manage the Onsite Review</w:t>
      </w:r>
    </w:p>
    <w:p w14:paraId="457C317C" w14:textId="77777777" w:rsidR="004F269E" w:rsidRDefault="00000000">
      <w:pPr>
        <w:pStyle w:val="Heading2"/>
      </w:pPr>
      <w:r>
        <w:t>Rooms, technology, and accessibility</w:t>
      </w:r>
    </w:p>
    <w:p w14:paraId="48832FD2" w14:textId="77777777" w:rsidR="004F269E" w:rsidRDefault="00000000">
      <w:pPr>
        <w:pStyle w:val="ChecklistItem"/>
        <w:keepLines/>
      </w:pPr>
      <w:r>
        <w:rPr>
          <w:rFonts w:ascii="DejaVu Sans" w:hAnsi="DejaVu Sans"/>
        </w:rPr>
        <w:t xml:space="preserve">☐  </w:t>
      </w:r>
      <w:r>
        <w:rPr>
          <w:b/>
        </w:rPr>
        <w:t>Designate appropriate meeting rooms.</w:t>
      </w:r>
      <w:r>
        <w:t xml:space="preserve"> Reserve separate rooms for sessions that may occur simultaneously and a separate private room where the RSA team can meet throughout the review.</w:t>
      </w:r>
    </w:p>
    <w:p w14:paraId="6BCE79F5" w14:textId="77777777" w:rsidR="004F269E" w:rsidRDefault="00000000">
      <w:pPr>
        <w:pStyle w:val="ChecklistItem"/>
        <w:keepLines/>
      </w:pPr>
      <w:r>
        <w:rPr>
          <w:rFonts w:ascii="DejaVu Sans" w:hAnsi="DejaVu Sans"/>
        </w:rPr>
        <w:t xml:space="preserve">☐  </w:t>
      </w:r>
      <w:r>
        <w:rPr>
          <w:b/>
        </w:rPr>
        <w:t>Provide reliable guest Wi-Fi for the RSA team.</w:t>
      </w:r>
      <w:r>
        <w:t xml:space="preserve"> Confirm access instructions, coverage, security requirements, and any needed guest credentials before the review begins.</w:t>
      </w:r>
    </w:p>
    <w:p w14:paraId="6B2990B5" w14:textId="77777777" w:rsidR="004F269E" w:rsidRDefault="00000000">
      <w:pPr>
        <w:pStyle w:val="ChecklistItem"/>
        <w:keepLines/>
      </w:pPr>
      <w:r>
        <w:rPr>
          <w:rFonts w:ascii="DejaVu Sans" w:hAnsi="DejaVu Sans"/>
        </w:rPr>
        <w:t xml:space="preserve">☐  </w:t>
      </w:r>
      <w:r>
        <w:rPr>
          <w:b/>
        </w:rPr>
        <w:t>Provide working microphones in each meeting room.</w:t>
      </w:r>
      <w:r>
        <w:t xml:space="preserve"> Use microphones that can capture the full-room discussion so virtual participants can hear everyone, not only the person nearest the computer.</w:t>
      </w:r>
    </w:p>
    <w:p w14:paraId="34A14E64" w14:textId="77777777" w:rsidR="004F269E" w:rsidRDefault="00000000">
      <w:pPr>
        <w:pStyle w:val="ChecklistItem"/>
        <w:keepLines/>
      </w:pPr>
      <w:r>
        <w:rPr>
          <w:rFonts w:ascii="DejaVu Sans" w:hAnsi="DejaVu Sans"/>
        </w:rPr>
        <w:t xml:space="preserve">☐  </w:t>
      </w:r>
      <w:r>
        <w:rPr>
          <w:b/>
        </w:rPr>
        <w:t>Test the complete hybrid meeting setup in advance.</w:t>
      </w:r>
      <w:r>
        <w:t xml:space="preserve"> Test microphones, speakers, cameras, displays, virtual meeting links, screen sharing, power, adapters, and internet connectivity from each room. Include a remote participant in the test whenever possible.</w:t>
      </w:r>
    </w:p>
    <w:p w14:paraId="2B4915B1" w14:textId="77777777" w:rsidR="004F269E" w:rsidRDefault="00000000">
      <w:pPr>
        <w:pStyle w:val="ChecklistItem"/>
        <w:keepLines/>
      </w:pPr>
      <w:r>
        <w:rPr>
          <w:rFonts w:ascii="DejaVu Sans" w:hAnsi="DejaVu Sans"/>
        </w:rPr>
        <w:t xml:space="preserve">☐  </w:t>
      </w:r>
      <w:r>
        <w:rPr>
          <w:b/>
        </w:rPr>
        <w:t>Confirm accessibility and accommodations.</w:t>
      </w:r>
      <w:r>
        <w:t xml:space="preserve"> Check physical access, seating, lighting, acoustics, captioning, accessible electronic materials, virtual platform access, and any individual accommodation needs.</w:t>
      </w:r>
    </w:p>
    <w:p w14:paraId="2DD1E618" w14:textId="77777777" w:rsidR="004F269E" w:rsidRDefault="00000000">
      <w:pPr>
        <w:pStyle w:val="ChecklistItem"/>
        <w:keepLines/>
      </w:pPr>
      <w:r>
        <w:rPr>
          <w:rFonts w:ascii="DejaVu Sans" w:hAnsi="DejaVu Sans"/>
        </w:rPr>
        <w:t xml:space="preserve">☐  </w:t>
      </w:r>
      <w:r>
        <w:rPr>
          <w:b/>
        </w:rPr>
        <w:t>Prepare backup options.</w:t>
      </w:r>
      <w:r>
        <w:t xml:space="preserve"> Have alternative equipment, a call-in option, technical support contacts, chargers, and a plan for moving or reconnecting a session if technology fails.</w:t>
      </w:r>
    </w:p>
    <w:p w14:paraId="6874E26F" w14:textId="77777777" w:rsidR="004F269E" w:rsidRDefault="00000000">
      <w:pPr>
        <w:pStyle w:val="ChecklistItem"/>
        <w:keepLines/>
      </w:pPr>
      <w:r>
        <w:rPr>
          <w:rFonts w:ascii="DejaVu Sans" w:hAnsi="DejaVu Sans"/>
        </w:rPr>
        <w:t xml:space="preserve">☐  </w:t>
      </w:r>
      <w:r>
        <w:rPr>
          <w:b/>
        </w:rPr>
        <w:t>Consider onsite hospitality.</w:t>
      </w:r>
      <w:r>
        <w:t xml:space="preserve"> Providing water and light snacks is optional, but monitoring days can be long. Follow agency rules and consider dietary and accessibility needs.</w:t>
      </w:r>
    </w:p>
    <w:p w14:paraId="671FB39C" w14:textId="77777777" w:rsidR="004F269E" w:rsidRDefault="00000000">
      <w:pPr>
        <w:pStyle w:val="Heading2"/>
      </w:pPr>
      <w:r>
        <w:t>Systems, materials, and staffing</w:t>
      </w:r>
    </w:p>
    <w:p w14:paraId="463A481B" w14:textId="77777777" w:rsidR="004F269E" w:rsidRDefault="00000000">
      <w:pPr>
        <w:pStyle w:val="ChecklistItem"/>
        <w:keepLines/>
      </w:pPr>
      <w:r>
        <w:rPr>
          <w:rFonts w:ascii="DejaVu Sans" w:hAnsi="DejaVu Sans"/>
        </w:rPr>
        <w:t xml:space="preserve">☐  </w:t>
      </w:r>
      <w:r>
        <w:rPr>
          <w:b/>
        </w:rPr>
        <w:t>Practice case management system demonstrations.</w:t>
      </w:r>
      <w:r>
        <w:t xml:space="preserve"> Conduct dry runs using the equipment and virtual platform that will be used onsite. Confirm screen-sharing permissions, test accounts, navigation, and protection of personally identifiable information.</w:t>
      </w:r>
    </w:p>
    <w:p w14:paraId="44ED04E2" w14:textId="77777777" w:rsidR="004F269E" w:rsidRDefault="00000000">
      <w:pPr>
        <w:pStyle w:val="ChecklistItem"/>
        <w:keepLines/>
      </w:pPr>
      <w:r>
        <w:rPr>
          <w:rFonts w:ascii="DejaVu Sans" w:hAnsi="DejaVu Sans"/>
        </w:rPr>
        <w:t xml:space="preserve">☐  </w:t>
      </w:r>
      <w:r>
        <w:rPr>
          <w:b/>
        </w:rPr>
        <w:t>Prepare a consistent working set of materials.</w:t>
      </w:r>
      <w:r>
        <w:t xml:space="preserve"> Ensure agency participants can quickly locate the same versions, page numbers, and files previously submitted to RSA.</w:t>
      </w:r>
    </w:p>
    <w:p w14:paraId="53E11A1B" w14:textId="77777777" w:rsidR="004F269E" w:rsidRDefault="00000000">
      <w:pPr>
        <w:pStyle w:val="ChecklistItem"/>
        <w:keepLines/>
      </w:pPr>
      <w:r>
        <w:rPr>
          <w:rFonts w:ascii="DejaVu Sans" w:hAnsi="DejaVu Sans"/>
        </w:rPr>
        <w:t xml:space="preserve">☐  </w:t>
      </w:r>
      <w:r>
        <w:rPr>
          <w:b/>
        </w:rPr>
        <w:t>Confirm session leads, note-takers, and backups.</w:t>
      </w:r>
      <w:r>
        <w:t xml:space="preserve"> Make sure each room has staff who understand the topic, can explain the agency's process, and can capture questions and requests.</w:t>
      </w:r>
    </w:p>
    <w:p w14:paraId="7DB36D00" w14:textId="77777777" w:rsidR="004F269E" w:rsidRDefault="00000000">
      <w:pPr>
        <w:pStyle w:val="ChecklistItem"/>
        <w:keepLines/>
      </w:pPr>
      <w:r>
        <w:rPr>
          <w:rFonts w:ascii="DejaVu Sans" w:hAnsi="DejaVu Sans"/>
        </w:rPr>
        <w:t xml:space="preserve">☐  </w:t>
      </w:r>
      <w:r>
        <w:rPr>
          <w:b/>
        </w:rPr>
        <w:t>Plan the director's participation strategically.</w:t>
      </w:r>
      <w:r>
        <w:t xml:space="preserve"> Because sessions may occur simultaneously, decide where leadership presence is most important and empower track leads to represent the agency elsewhere.</w:t>
      </w:r>
    </w:p>
    <w:p w14:paraId="6769881E" w14:textId="77777777" w:rsidR="004F269E" w:rsidRDefault="00000000">
      <w:pPr>
        <w:pStyle w:val="Heading2"/>
      </w:pPr>
      <w:r>
        <w:t>Coordinate during the review</w:t>
      </w:r>
    </w:p>
    <w:p w14:paraId="5697CF1F" w14:textId="77777777" w:rsidR="004F269E" w:rsidRDefault="00000000">
      <w:pPr>
        <w:pStyle w:val="ChecklistItem"/>
        <w:keepLines/>
      </w:pPr>
      <w:r>
        <w:rPr>
          <w:rFonts w:ascii="DejaVu Sans" w:hAnsi="DejaVu Sans"/>
        </w:rPr>
        <w:t xml:space="preserve">☐  </w:t>
      </w:r>
      <w:r>
        <w:rPr>
          <w:b/>
        </w:rPr>
        <w:t>Verify audio and access at the start of every hybrid session.</w:t>
      </w:r>
      <w:r>
        <w:t xml:space="preserve"> Ask virtual participants to confirm that they can hear the room and see shared materials before substantive discussion begins.</w:t>
      </w:r>
    </w:p>
    <w:p w14:paraId="18F1CB81" w14:textId="77777777" w:rsidR="004F269E" w:rsidRDefault="00000000">
      <w:pPr>
        <w:pStyle w:val="ChecklistItem"/>
        <w:keepLines/>
      </w:pPr>
      <w:r>
        <w:rPr>
          <w:rFonts w:ascii="DejaVu Sans" w:hAnsi="DejaVu Sans"/>
        </w:rPr>
        <w:t xml:space="preserve">☐  </w:t>
      </w:r>
      <w:r>
        <w:rPr>
          <w:b/>
        </w:rPr>
        <w:t>Use one request and decision log.</w:t>
      </w:r>
      <w:r>
        <w:t xml:space="preserve"> Record each verbal or written request, the requesting RSA staff member, scope, owner, deadline, response, and upload location. Clarify ambiguous requests before staff begin work.</w:t>
      </w:r>
    </w:p>
    <w:p w14:paraId="0F18D547" w14:textId="77777777" w:rsidR="004F269E" w:rsidRDefault="00000000">
      <w:pPr>
        <w:pStyle w:val="ChecklistItem"/>
        <w:keepLines/>
      </w:pPr>
      <w:r>
        <w:rPr>
          <w:rFonts w:ascii="DejaVu Sans" w:hAnsi="DejaVu Sans"/>
        </w:rPr>
        <w:t xml:space="preserve">☐  </w:t>
      </w:r>
      <w:r>
        <w:rPr>
          <w:b/>
        </w:rPr>
        <w:t>Schedule internal coordination and debrief meetings.</w:t>
      </w:r>
      <w:r>
        <w:t xml:space="preserve"> Because two sessions may occur simultaneously, build in at least one opportunity during the day and an end-of-day debrief to compare notes, identify inconsistent information, and assign follow-up work.</w:t>
      </w:r>
    </w:p>
    <w:p w14:paraId="46BACE39" w14:textId="2163E7E7" w:rsidR="004F269E" w:rsidRDefault="00000000">
      <w:pPr>
        <w:pStyle w:val="ChecklistItem"/>
        <w:keepLines/>
      </w:pPr>
      <w:r>
        <w:rPr>
          <w:rFonts w:ascii="DejaVu Sans" w:hAnsi="DejaVu Sans"/>
        </w:rPr>
        <w:t xml:space="preserve">☐  </w:t>
      </w:r>
      <w:r>
        <w:rPr>
          <w:b/>
        </w:rPr>
        <w:t>Respond accurately and consistently.</w:t>
      </w:r>
      <w:r>
        <w:t xml:space="preserve"> If staff do not know an answer,</w:t>
      </w:r>
      <w:r w:rsidR="00C93636">
        <w:t xml:space="preserve"> don’t make something up. You can say you will look into that and get back to the team</w:t>
      </w:r>
      <w:r>
        <w:t>. Avoid speculation or conflicting explanations across rooms.</w:t>
      </w:r>
    </w:p>
    <w:p w14:paraId="07863AD9" w14:textId="77777777" w:rsidR="004F269E" w:rsidRDefault="00000000">
      <w:pPr>
        <w:pStyle w:val="ChecklistItem"/>
        <w:keepLines/>
      </w:pPr>
      <w:r>
        <w:rPr>
          <w:rFonts w:ascii="DejaVu Sans" w:hAnsi="DejaVu Sans"/>
        </w:rPr>
        <w:t xml:space="preserve">☐  </w:t>
      </w:r>
      <w:r>
        <w:rPr>
          <w:b/>
        </w:rPr>
        <w:t>Complete same-day follow-up when feasible.</w:t>
      </w:r>
      <w:r>
        <w:t xml:space="preserve"> Prioritize requests from the day's sessions, conduct quality review, and ensure all responses flow through the monitoring point person.</w:t>
      </w:r>
    </w:p>
    <w:p w14:paraId="7AFF885B" w14:textId="77777777" w:rsidR="004F269E" w:rsidRDefault="00000000">
      <w:pPr>
        <w:pStyle w:val="Heading1"/>
      </w:pPr>
      <w:r>
        <w:lastRenderedPageBreak/>
        <w:t>Phase 5: Complete Post-Visit Requirements</w:t>
      </w:r>
    </w:p>
    <w:p w14:paraId="381F0125" w14:textId="77777777" w:rsidR="004F269E" w:rsidRDefault="00000000">
      <w:pPr>
        <w:pStyle w:val="Heading2"/>
      </w:pPr>
      <w:r>
        <w:t>Close out requests and capture lessons</w:t>
      </w:r>
    </w:p>
    <w:p w14:paraId="6060043D" w14:textId="72C2457F" w:rsidR="004F269E" w:rsidRDefault="00000000" w:rsidP="00C93636">
      <w:pPr>
        <w:pStyle w:val="ChecklistItem"/>
        <w:keepLines/>
      </w:pPr>
      <w:r>
        <w:rPr>
          <w:rFonts w:ascii="DejaVu Sans" w:hAnsi="DejaVu Sans"/>
        </w:rPr>
        <w:t xml:space="preserve">☐  </w:t>
      </w:r>
      <w:r>
        <w:rPr>
          <w:b/>
        </w:rPr>
        <w:t>Reconcile all open follow-up requests.</w:t>
      </w:r>
      <w:r>
        <w:t xml:space="preserve"> Confirm owners, due dates, quality review, secure submission, and receipt. Keep the master tracker current until RSA closes each request.</w:t>
      </w:r>
    </w:p>
    <w:p w14:paraId="5E8F8089" w14:textId="77777777" w:rsidR="004F269E" w:rsidRDefault="00000000">
      <w:pPr>
        <w:pStyle w:val="ChecklistItem"/>
        <w:keepLines/>
      </w:pPr>
      <w:proofErr w:type="gramStart"/>
      <w:r>
        <w:rPr>
          <w:rFonts w:ascii="DejaVu Sans" w:hAnsi="DejaVu Sans"/>
        </w:rPr>
        <w:t xml:space="preserve">☐  </w:t>
      </w:r>
      <w:r>
        <w:rPr>
          <w:b/>
        </w:rPr>
        <w:t>Hold</w:t>
      </w:r>
      <w:proofErr w:type="gramEnd"/>
      <w:r>
        <w:rPr>
          <w:b/>
        </w:rPr>
        <w:t xml:space="preserve"> an internal debrief.</w:t>
      </w:r>
      <w:r>
        <w:t xml:space="preserve"> Document strengths, gaps, unresolved questions, lessons learned, and technical assistance needs while the review is still fresh.</w:t>
      </w:r>
    </w:p>
    <w:p w14:paraId="4242E295" w14:textId="77777777" w:rsidR="004F269E" w:rsidRDefault="00000000">
      <w:pPr>
        <w:pStyle w:val="Heading2"/>
      </w:pPr>
      <w:r>
        <w:t>Review reports and respond</w:t>
      </w:r>
    </w:p>
    <w:p w14:paraId="1AFB4DAA" w14:textId="77777777" w:rsidR="004F269E" w:rsidRDefault="00000000">
      <w:pPr>
        <w:pStyle w:val="ChecklistItem"/>
        <w:keepLines/>
      </w:pPr>
      <w:r>
        <w:rPr>
          <w:rFonts w:ascii="DejaVu Sans" w:hAnsi="DejaVu Sans"/>
        </w:rPr>
        <w:t xml:space="preserve">☐  </w:t>
      </w:r>
      <w:r>
        <w:rPr>
          <w:b/>
        </w:rPr>
        <w:t>Plan for prompt review of the draft monitoring report.</w:t>
      </w:r>
      <w:r>
        <w:t xml:space="preserve"> Note the response deadline in RSA's transmittal, schedule leadership and subject-matter review immediately, and coordinate one agency response.</w:t>
      </w:r>
    </w:p>
    <w:p w14:paraId="35DF3CF0" w14:textId="77777777" w:rsidR="004F269E" w:rsidRDefault="00000000">
      <w:pPr>
        <w:pStyle w:val="ChecklistItem"/>
        <w:keepLines/>
      </w:pPr>
      <w:r>
        <w:rPr>
          <w:rFonts w:ascii="DejaVu Sans" w:hAnsi="DejaVu Sans"/>
        </w:rPr>
        <w:t xml:space="preserve">☐  </w:t>
      </w:r>
      <w:r>
        <w:rPr>
          <w:b/>
        </w:rPr>
        <w:t>Focus the draft-report response on factual accuracy.</w:t>
      </w:r>
      <w:r>
        <w:t xml:space="preserve"> Identify statements that are factually incorrect or incomplete and support corrections with clear evidence. Distinguish factual corrections from improvements made after the period under review.</w:t>
      </w:r>
    </w:p>
    <w:p w14:paraId="50319648" w14:textId="77777777" w:rsidR="004F269E" w:rsidRDefault="00000000">
      <w:pPr>
        <w:pStyle w:val="ChecklistItem"/>
        <w:keepLines/>
      </w:pPr>
      <w:r>
        <w:rPr>
          <w:rFonts w:ascii="DejaVu Sans" w:hAnsi="DejaVu Sans"/>
        </w:rPr>
        <w:t xml:space="preserve">☐  </w:t>
      </w:r>
      <w:r>
        <w:rPr>
          <w:b/>
        </w:rPr>
        <w:t>Review the final report and corrective actions with the full team.</w:t>
      </w:r>
      <w:r>
        <w:t xml:space="preserve"> Assign accountable owners, internal milestones, evidence requirements, and leadership oversight for every required action.</w:t>
      </w:r>
    </w:p>
    <w:p w14:paraId="195F32DB" w14:textId="4F0805D4" w:rsidR="004F269E" w:rsidRDefault="00000000">
      <w:pPr>
        <w:pStyle w:val="ChecklistItem"/>
        <w:keepLines/>
      </w:pPr>
      <w:r>
        <w:rPr>
          <w:rFonts w:ascii="DejaVu Sans" w:hAnsi="DejaVu Sans"/>
        </w:rPr>
        <w:t xml:space="preserve">☐  </w:t>
      </w:r>
      <w:r>
        <w:rPr>
          <w:b/>
        </w:rPr>
        <w:t>Engage technical assistance early when needed.</w:t>
      </w:r>
      <w:r>
        <w:t xml:space="preserve"> Use the VRTAC, NTACT:C, or other appropriate partners to support corrective action planning, implementation, and sustainability.</w:t>
      </w:r>
    </w:p>
    <w:p w14:paraId="742EC835" w14:textId="77777777" w:rsidR="004F269E" w:rsidRDefault="00000000">
      <w:pPr>
        <w:pStyle w:val="ChecklistItem"/>
        <w:keepLines/>
      </w:pPr>
      <w:r>
        <w:rPr>
          <w:rFonts w:ascii="DejaVu Sans" w:hAnsi="DejaVu Sans"/>
        </w:rPr>
        <w:t xml:space="preserve">☐  </w:t>
      </w:r>
      <w:r>
        <w:rPr>
          <w:b/>
        </w:rPr>
        <w:t>Share appropriate lessons through the Monitoring CoP.</w:t>
      </w:r>
      <w:r>
        <w:t xml:space="preserve"> Peer exchange helps agencies in later monitoring cycles prepare more effectively and strengthens the broader VR community.</w:t>
      </w:r>
    </w:p>
    <w:p w14:paraId="41C3927D" w14:textId="77777777" w:rsidR="004F269E" w:rsidRDefault="00000000">
      <w:pPr>
        <w:pStyle w:val="Disclaimer"/>
      </w:pPr>
      <w:r>
        <w:t>The contents of this checklist were developed under grant H264L250001 from the U.S. Department of Education (Department). The Department does not mandate or prescribe practices, models, or other activities described or discussed in this document. The contents of this checklist may contain examples of, adaptations of, and links to resources created and maintained by another public or private organization. The Department does not control or guarantee the accuracy, relevance, timeliness, or completeness of this outside information. The content of this checklist does not necessarily represent the policy of the Department. This publication is not intended to represent the views or policy of or be an endorsement of any views expressed, or materials provided by any Federal agency (EDGAR 75.620).</w:t>
      </w:r>
    </w:p>
    <w:sectPr w:rsidR="004F269E">
      <w:headerReference w:type="default" r:id="rId9"/>
      <w:footerReference w:type="default" r:id="rId10"/>
      <w:footerReference w:type="first" r:id="rId11"/>
      <w:pgSz w:w="12240" w:h="15840"/>
      <w:pgMar w:top="288" w:right="1008" w:bottom="1440"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CD5B" w14:textId="77777777" w:rsidR="00A32AC6" w:rsidRDefault="00A32AC6">
      <w:pPr>
        <w:spacing w:after="0" w:line="240" w:lineRule="auto"/>
      </w:pPr>
      <w:r>
        <w:separator/>
      </w:r>
    </w:p>
  </w:endnote>
  <w:endnote w:type="continuationSeparator" w:id="0">
    <w:p w14:paraId="16EDFF91" w14:textId="77777777" w:rsidR="00A32AC6" w:rsidRDefault="00A3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variable"/>
    <w:sig w:usb0="00000003" w:usb1="0200E4B4" w:usb2="00000000" w:usb3="00000000" w:csb0="00000001" w:csb1="00000000"/>
  </w:font>
  <w:font w:name="Libre Franklin">
    <w:charset w:val="00"/>
    <w:family w:val="auto"/>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Franklin Gothic">
    <w:altName w:val="Calibri"/>
    <w:charset w:val="00"/>
    <w:family w:val="auto"/>
    <w:pitch w:val="default"/>
  </w:font>
  <w:font w:name="Libre Franklin Medium">
    <w:charset w:val="00"/>
    <w:family w:val="auto"/>
    <w:pitch w:val="variable"/>
    <w:sig w:usb0="A00000FF" w:usb1="4000205B" w:usb2="00000000" w:usb3="00000000" w:csb0="00000193" w:csb1="00000000"/>
  </w:font>
  <w:font w:name="Malgun Gothic">
    <w:altName w:val="맑은 고딕"/>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DejaVu Sans">
    <w:altName w:val="Verdan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80EA" w14:textId="77777777" w:rsidR="005C21F4" w:rsidRDefault="00D06AD7">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6208E">
      <w:rPr>
        <w:noProof/>
        <w:color w:val="000000"/>
      </w:rPr>
      <w:t>2</w:t>
    </w:r>
    <w:r>
      <w:rPr>
        <w:color w:val="000000"/>
      </w:rPr>
      <w:fldChar w:fldCharType="end"/>
    </w:r>
  </w:p>
  <w:p w14:paraId="4A1A86A5" w14:textId="77777777" w:rsidR="005C21F4" w:rsidRDefault="00D06AD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59264" behindDoc="0" locked="0" layoutInCell="1" hidden="0" allowOverlap="1" wp14:anchorId="66DB3655" wp14:editId="02C03732">
              <wp:simplePos x="0" y="0"/>
              <wp:positionH relativeFrom="column">
                <wp:posOffset>-684587</wp:posOffset>
              </wp:positionH>
              <wp:positionV relativeFrom="paragraph">
                <wp:posOffset>184150</wp:posOffset>
              </wp:positionV>
              <wp:extent cx="7813269" cy="457200"/>
              <wp:effectExtent l="0" t="0" r="0" b="0"/>
              <wp:wrapNone/>
              <wp:docPr id="2010016924" name="Group 2010016924" descr="Decorative footer band"/>
              <wp:cNvGraphicFramePr/>
              <a:graphic xmlns:a="http://schemas.openxmlformats.org/drawingml/2006/main">
                <a:graphicData uri="http://schemas.microsoft.com/office/word/2010/wordprocessingGroup">
                  <wpg:wgp>
                    <wpg:cNvGrpSpPr/>
                    <wpg:grpSpPr>
                      <a:xfrm>
                        <a:off x="0" y="0"/>
                        <a:ext cx="7813269" cy="457200"/>
                        <a:chOff x="1439350" y="3551400"/>
                        <a:chExt cx="7813300" cy="457200"/>
                      </a:xfrm>
                    </wpg:grpSpPr>
                    <wpg:grpSp>
                      <wpg:cNvPr id="1" name="Group 1"/>
                      <wpg:cNvGrpSpPr/>
                      <wpg:grpSpPr>
                        <a:xfrm>
                          <a:off x="1439366" y="3551400"/>
                          <a:ext cx="7813269" cy="457200"/>
                          <a:chOff x="0" y="0"/>
                          <a:chExt cx="7813269" cy="457200"/>
                        </a:xfrm>
                      </wpg:grpSpPr>
                      <wps:wsp>
                        <wps:cNvPr id="2" name="Rectangle 2"/>
                        <wps:cNvSpPr/>
                        <wps:spPr>
                          <a:xfrm>
                            <a:off x="0" y="0"/>
                            <a:ext cx="7813250" cy="457200"/>
                          </a:xfrm>
                          <a:prstGeom prst="rect">
                            <a:avLst/>
                          </a:prstGeom>
                          <a:noFill/>
                          <a:ln>
                            <a:noFill/>
                          </a:ln>
                        </wps:spPr>
                        <wps:txbx>
                          <w:txbxContent>
                            <w:p w14:paraId="30B37FB2"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3" name="Rectangle 3"/>
                        <wps:cNvSpPr/>
                        <wps:spPr>
                          <a:xfrm>
                            <a:off x="22033" y="0"/>
                            <a:ext cx="7791236" cy="137711"/>
                          </a:xfrm>
                          <a:prstGeom prst="rect">
                            <a:avLst/>
                          </a:prstGeom>
                          <a:gradFill>
                            <a:gsLst>
                              <a:gs pos="0">
                                <a:srgbClr val="004F4F"/>
                              </a:gs>
                              <a:gs pos="50000">
                                <a:srgbClr val="007373"/>
                              </a:gs>
                              <a:gs pos="100000">
                                <a:srgbClr val="008989"/>
                              </a:gs>
                            </a:gsLst>
                            <a:lin ang="0" scaled="0"/>
                          </a:gradFill>
                          <a:ln>
                            <a:noFill/>
                          </a:ln>
                        </wps:spPr>
                        <wps:txbx>
                          <w:txbxContent>
                            <w:p w14:paraId="57E0D93E"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4" name="Rectangle 4"/>
                        <wps:cNvSpPr/>
                        <wps:spPr>
                          <a:xfrm>
                            <a:off x="0" y="154236"/>
                            <a:ext cx="7791236" cy="137711"/>
                          </a:xfrm>
                          <a:prstGeom prst="rect">
                            <a:avLst/>
                          </a:prstGeom>
                          <a:gradFill>
                            <a:gsLst>
                              <a:gs pos="0">
                                <a:schemeClr val="dk1"/>
                              </a:gs>
                              <a:gs pos="60000">
                                <a:schemeClr val="accent3"/>
                              </a:gs>
                              <a:gs pos="83000">
                                <a:schemeClr val="lt2"/>
                              </a:gs>
                              <a:gs pos="100000">
                                <a:schemeClr val="lt2"/>
                              </a:gs>
                            </a:gsLst>
                            <a:lin ang="0" scaled="0"/>
                          </a:gradFill>
                          <a:ln>
                            <a:noFill/>
                          </a:ln>
                        </wps:spPr>
                        <wps:txbx>
                          <w:txbxContent>
                            <w:p w14:paraId="24651DA1"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5" name="Rectangle 5"/>
                        <wps:cNvSpPr/>
                        <wps:spPr>
                          <a:xfrm>
                            <a:off x="22033" y="319489"/>
                            <a:ext cx="7791236" cy="137711"/>
                          </a:xfrm>
                          <a:prstGeom prst="rect">
                            <a:avLst/>
                          </a:prstGeom>
                          <a:solidFill>
                            <a:schemeClr val="accent1"/>
                          </a:solidFill>
                          <a:ln>
                            <a:noFill/>
                          </a:ln>
                        </wps:spPr>
                        <wps:txbx>
                          <w:txbxContent>
                            <w:p w14:paraId="4DC7E959"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Group 2010016924" o:spid="_x0000_s1027" style="position:absolute;margin-left:-53.9pt;margin-top:14.5pt;width:615.2pt;height:36pt;z-index:251659264" coordorigin="14393,35514" coordsize="7813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">
              <v:group id="Group 1" o:spid="_x0000_s1028" style="position:absolute;left:14393;top:35514;width:78133;height:4572" coordsize="7813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9" style="position:absolute;width:781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5C21F4" w:rsidRDefault="005C21F4">
                        <w:pPr>
                          <w:spacing w:after="0" w:line="240" w:lineRule="auto"/>
                          <w:textDirection w:val="btLr"/>
                        </w:pPr>
                      </w:p>
                    </w:txbxContent>
                  </v:textbox>
                </v:rect>
                <v:rect id="Rectangle 3" o:spid="_x0000_s1030" style="position:absolute;left:220;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" fillcolor="#004f4f" stroked="f">
                  <v:fill color2="#008989" angle="90" colors="0 #004f4f;.5 #007373;1 #008989" focus="100%" type="gradient">
                    <o:fill v:ext="view" type="gradientUnscaled"/>
                  </v:fill>
                  <v:textbox inset="2.53958mm,2.53958mm,2.53958mm,2.53958mm">
                    <w:txbxContent>
                      <w:p w:rsidR="005C21F4" w:rsidRDefault="005C21F4">
                        <w:pPr>
                          <w:spacing w:after="0" w:line="240" w:lineRule="auto"/>
                          <w:textDirection w:val="btLr"/>
                        </w:pPr>
                      </w:p>
                    </w:txbxContent>
                  </v:textbox>
                </v:rect>
                <v:rect id="Rectangle 4" o:spid="_x0000_s1031" style="position:absolute;top:1542;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" fillcolor="#2d2828 [3200]" stroked="f">
                  <v:fill color2="#d9d9d9 [3203]" angle="90" colors="0 #2d2828;39322f #828282;54395f #d9d9d9;1 #d9d9d9" focus="100%" type="gradient">
                    <o:fill v:ext="view" type="gradientUnscaled"/>
                  </v:fill>
                  <v:textbox inset="2.53958mm,2.53958mm,2.53958mm,2.53958mm">
                    <w:txbxContent>
                      <w:p w:rsidR="005C21F4" w:rsidRDefault="005C21F4">
                        <w:pPr>
                          <w:spacing w:after="0" w:line="240" w:lineRule="auto"/>
                          <w:textDirection w:val="btLr"/>
                        </w:pPr>
                      </w:p>
                    </w:txbxContent>
                  </v:textbox>
                </v:rect>
                <v:rect id="Rectangle 5" o:spid="_x0000_s1032" style="position:absolute;left:220;top:3194;width:77912;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" fillcolor="teal [3204]" stroked="f">
                  <v:textbox inset="2.53958mm,2.53958mm,2.53958mm,2.53958mm">
                    <w:txbxContent>
                      <w:p w:rsidR="005C21F4" w:rsidRDefault="005C21F4">
                        <w:pPr>
                          <w:spacing w:after="0" w:line="240" w:lineRule="auto"/>
                          <w:textDirection w:val="btLr"/>
                        </w:pPr>
                      </w:p>
                    </w:txbxContent>
                  </v:textbox>
                </v:rec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1BB0" w14:textId="77777777" w:rsidR="005C21F4" w:rsidRDefault="00D06AD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g">
          <w:drawing>
            <wp:anchor distT="0" distB="0" distL="114300" distR="114300" simplePos="0" relativeHeight="251660288" behindDoc="0" locked="0" layoutInCell="1" hidden="0" allowOverlap="1" wp14:anchorId="23122440" wp14:editId="0A056FBE">
              <wp:simplePos x="0" y="0"/>
              <wp:positionH relativeFrom="column">
                <wp:posOffset>-664210</wp:posOffset>
              </wp:positionH>
              <wp:positionV relativeFrom="paragraph">
                <wp:posOffset>736600</wp:posOffset>
              </wp:positionV>
              <wp:extent cx="7813269" cy="457200"/>
              <wp:effectExtent l="0" t="0" r="0" b="0"/>
              <wp:wrapNone/>
              <wp:docPr id="2010016925" name="Group 2010016925" descr="Decorative footer band"/>
              <wp:cNvGraphicFramePr/>
              <a:graphic xmlns:a="http://schemas.openxmlformats.org/drawingml/2006/main">
                <a:graphicData uri="http://schemas.microsoft.com/office/word/2010/wordprocessingGroup">
                  <wpg:wgp>
                    <wpg:cNvGrpSpPr/>
                    <wpg:grpSpPr>
                      <a:xfrm>
                        <a:off x="0" y="0"/>
                        <a:ext cx="7813269" cy="457200"/>
                        <a:chOff x="1439350" y="3551400"/>
                        <a:chExt cx="7813300" cy="457200"/>
                      </a:xfrm>
                    </wpg:grpSpPr>
                    <wpg:grpSp>
                      <wpg:cNvPr id="6" name="Group 6"/>
                      <wpg:cNvGrpSpPr/>
                      <wpg:grpSpPr>
                        <a:xfrm>
                          <a:off x="1439366" y="3551400"/>
                          <a:ext cx="7813269" cy="457200"/>
                          <a:chOff x="0" y="0"/>
                          <a:chExt cx="7813269" cy="457200"/>
                        </a:xfrm>
                      </wpg:grpSpPr>
                      <wps:wsp>
                        <wps:cNvPr id="7" name="Rectangle 7"/>
                        <wps:cNvSpPr/>
                        <wps:spPr>
                          <a:xfrm>
                            <a:off x="0" y="0"/>
                            <a:ext cx="7813250" cy="457200"/>
                          </a:xfrm>
                          <a:prstGeom prst="rect">
                            <a:avLst/>
                          </a:prstGeom>
                          <a:noFill/>
                          <a:ln>
                            <a:noFill/>
                          </a:ln>
                        </wps:spPr>
                        <wps:txbx>
                          <w:txbxContent>
                            <w:p w14:paraId="56BD4A23"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8" name="Rectangle 8"/>
                        <wps:cNvSpPr/>
                        <wps:spPr>
                          <a:xfrm>
                            <a:off x="22033" y="0"/>
                            <a:ext cx="7791236" cy="137711"/>
                          </a:xfrm>
                          <a:prstGeom prst="rect">
                            <a:avLst/>
                          </a:prstGeom>
                          <a:gradFill>
                            <a:gsLst>
                              <a:gs pos="0">
                                <a:srgbClr val="004F4F"/>
                              </a:gs>
                              <a:gs pos="50000">
                                <a:srgbClr val="007373"/>
                              </a:gs>
                              <a:gs pos="100000">
                                <a:srgbClr val="008989"/>
                              </a:gs>
                            </a:gsLst>
                            <a:lin ang="0" scaled="0"/>
                          </a:gradFill>
                          <a:ln>
                            <a:noFill/>
                          </a:ln>
                        </wps:spPr>
                        <wps:txbx>
                          <w:txbxContent>
                            <w:p w14:paraId="33BC0646"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9" name="Rectangle 9"/>
                        <wps:cNvSpPr/>
                        <wps:spPr>
                          <a:xfrm>
                            <a:off x="0" y="154236"/>
                            <a:ext cx="7791236" cy="137711"/>
                          </a:xfrm>
                          <a:prstGeom prst="rect">
                            <a:avLst/>
                          </a:prstGeom>
                          <a:gradFill>
                            <a:gsLst>
                              <a:gs pos="0">
                                <a:schemeClr val="dk1"/>
                              </a:gs>
                              <a:gs pos="60000">
                                <a:schemeClr val="accent3"/>
                              </a:gs>
                              <a:gs pos="83000">
                                <a:schemeClr val="lt2"/>
                              </a:gs>
                              <a:gs pos="100000">
                                <a:schemeClr val="lt2"/>
                              </a:gs>
                            </a:gsLst>
                            <a:lin ang="0" scaled="0"/>
                          </a:gradFill>
                          <a:ln>
                            <a:noFill/>
                          </a:ln>
                        </wps:spPr>
                        <wps:txbx>
                          <w:txbxContent>
                            <w:p w14:paraId="4E51AA5D"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s:wsp>
                        <wps:cNvPr id="10" name="Rectangle 10"/>
                        <wps:cNvSpPr/>
                        <wps:spPr>
                          <a:xfrm>
                            <a:off x="22033" y="319489"/>
                            <a:ext cx="7791236" cy="137711"/>
                          </a:xfrm>
                          <a:prstGeom prst="rect">
                            <a:avLst/>
                          </a:prstGeom>
                          <a:solidFill>
                            <a:schemeClr val="accent1"/>
                          </a:solidFill>
                          <a:ln>
                            <a:noFill/>
                          </a:ln>
                        </wps:spPr>
                        <wps:txbx>
                          <w:txbxContent>
                            <w:p w14:paraId="0E83F1B6"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Group 2010016925" o:spid="_x0000_s1033" style="position:absolute;margin-left:-52.3pt;margin-top:58pt;width:615.2pt;height:36pt;z-index:251660288" coordorigin="14393,35514" coordsize="78133,4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">
              <v:group id="Group 6" o:spid="_x0000_s1034" style="position:absolute;left:14393;top:35514;width:78133;height:4572" coordsize="78132,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5" style="position:absolute;width:78132;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rsidR="005C21F4" w:rsidRDefault="005C21F4">
                        <w:pPr>
                          <w:spacing w:after="0" w:line="240" w:lineRule="auto"/>
                          <w:textDirection w:val="btLr"/>
                        </w:pPr>
                      </w:p>
                    </w:txbxContent>
                  </v:textbox>
                </v:rect>
                <v:rect id="Rectangle 8" o:spid="_x0000_s1036" style="position:absolute;left:220;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" fillcolor="#004f4f" stroked="f">
                  <v:fill color2="#008989" angle="90" colors="0 #004f4f;.5 #007373;1 #008989" focus="100%" type="gradient">
                    <o:fill v:ext="view" type="gradientUnscaled"/>
                  </v:fill>
                  <v:textbox inset="2.53958mm,2.53958mm,2.53958mm,2.53958mm">
                    <w:txbxContent>
                      <w:p w:rsidR="005C21F4" w:rsidRDefault="005C21F4">
                        <w:pPr>
                          <w:spacing w:after="0" w:line="240" w:lineRule="auto"/>
                          <w:textDirection w:val="btLr"/>
                        </w:pPr>
                      </w:p>
                    </w:txbxContent>
                  </v:textbox>
                </v:rect>
                <v:rect id="Rectangle 9" o:spid="_x0000_s1037" style="position:absolute;top:1542;width:77912;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" fillcolor="#2d2828 [3200]" stroked="f">
                  <v:fill color2="#d9d9d9 [3203]" angle="90" colors="0 #2d2828;39322f #828282;54395f #d9d9d9;1 #d9d9d9" focus="100%" type="gradient">
                    <o:fill v:ext="view" type="gradientUnscaled"/>
                  </v:fill>
                  <v:textbox inset="2.53958mm,2.53958mm,2.53958mm,2.53958mm">
                    <w:txbxContent>
                      <w:p w:rsidR="005C21F4" w:rsidRDefault="005C21F4">
                        <w:pPr>
                          <w:spacing w:after="0" w:line="240" w:lineRule="auto"/>
                          <w:textDirection w:val="btLr"/>
                        </w:pPr>
                      </w:p>
                    </w:txbxContent>
                  </v:textbox>
                </v:rect>
                <v:rect id="Rectangle 10" o:spid="_x0000_s1038" style="position:absolute;left:220;top:3194;width:77912;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" fillcolor="teal [3204]" stroked="f">
                  <v:textbox inset="2.53958mm,2.53958mm,2.53958mm,2.53958mm">
                    <w:txbxContent>
                      <w:p w:rsidR="005C21F4" w:rsidRDefault="005C21F4">
                        <w:pPr>
                          <w:spacing w:after="0" w:line="240" w:lineRule="auto"/>
                          <w:textDirection w:val="btLr"/>
                        </w:pPr>
                      </w:p>
                    </w:txbxContent>
                  </v:textbox>
                </v:rect>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18754" w14:textId="77777777" w:rsidR="00A32AC6" w:rsidRDefault="00A32AC6">
      <w:pPr>
        <w:spacing w:after="0" w:line="240" w:lineRule="auto"/>
      </w:pPr>
      <w:r>
        <w:separator/>
      </w:r>
    </w:p>
  </w:footnote>
  <w:footnote w:type="continuationSeparator" w:id="0">
    <w:p w14:paraId="600E5784" w14:textId="77777777" w:rsidR="00A32AC6" w:rsidRDefault="00A32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857CB" w14:textId="77777777" w:rsidR="005C21F4" w:rsidRDefault="00D06AD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8240" behindDoc="0" locked="0" layoutInCell="1" hidden="0" allowOverlap="1" wp14:anchorId="02F93258" wp14:editId="2D0D008F">
              <wp:simplePos x="0" y="0"/>
              <wp:positionH relativeFrom="column">
                <wp:posOffset>-667170</wp:posOffset>
              </wp:positionH>
              <wp:positionV relativeFrom="paragraph">
                <wp:posOffset>-469936</wp:posOffset>
              </wp:positionV>
              <wp:extent cx="7800340" cy="146685"/>
              <wp:effectExtent l="0" t="0" r="0" b="0"/>
              <wp:wrapNone/>
              <wp:docPr id="2010016926" name="Rectangle 2010016926" descr="Decorative header band"/>
              <wp:cNvGraphicFramePr/>
              <a:graphic xmlns:a="http://schemas.openxmlformats.org/drawingml/2006/main">
                <a:graphicData uri="http://schemas.microsoft.com/office/word/2010/wordprocessingShape">
                  <wps:wsp>
                    <wps:cNvSpPr/>
                    <wps:spPr>
                      <a:xfrm>
                        <a:off x="1450593" y="3711420"/>
                        <a:ext cx="7790815" cy="137160"/>
                      </a:xfrm>
                      <a:prstGeom prst="rect">
                        <a:avLst/>
                      </a:prstGeom>
                      <a:gradFill>
                        <a:gsLst>
                          <a:gs pos="0">
                            <a:srgbClr val="004F4F"/>
                          </a:gs>
                          <a:gs pos="50000">
                            <a:srgbClr val="007373"/>
                          </a:gs>
                          <a:gs pos="100000">
                            <a:srgbClr val="008989"/>
                          </a:gs>
                        </a:gsLst>
                        <a:lin ang="0" scaled="0"/>
                      </a:gradFill>
                      <a:ln>
                        <a:noFill/>
                      </a:ln>
                    </wps:spPr>
                    <wps:txbx>
                      <w:txbxContent>
                        <w:p w14:paraId="0D9C70E4" w14:textId="77777777" w:rsidR="005C21F4" w:rsidRDefault="005C21F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id="Rectangle 2010016926" o:spid="_x0000_s1026" style="position:absolute;margin-left:-52.55pt;margin-top:-37pt;width:614.2pt;height:11.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" fillcolor="#004f4f" stroked="f">
              <v:fill color2="#008989" angle="90" colors="0 #004f4f;.5 #007373;1 #008989" focus="100%" type="gradient">
                <o:fill v:ext="view" type="gradientUnscaled"/>
              </v:fill>
              <v:textbox inset="2.53958mm,2.53958mm,2.53958mm,2.53958mm">
                <w:txbxContent>
                  <w:p w:rsidR="005C21F4" w:rsidRDefault="005C21F4">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54C5"/>
    <w:multiLevelType w:val="multilevel"/>
    <w:tmpl w:val="A02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76CC3"/>
    <w:multiLevelType w:val="multilevel"/>
    <w:tmpl w:val="9E187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837E08"/>
    <w:multiLevelType w:val="multilevel"/>
    <w:tmpl w:val="9950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FC3682"/>
    <w:multiLevelType w:val="multilevel"/>
    <w:tmpl w:val="B924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64424E"/>
    <w:multiLevelType w:val="multilevel"/>
    <w:tmpl w:val="FA565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1B60"/>
    <w:multiLevelType w:val="multilevel"/>
    <w:tmpl w:val="C2DC1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1664D3"/>
    <w:multiLevelType w:val="multilevel"/>
    <w:tmpl w:val="5812F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356F97"/>
    <w:multiLevelType w:val="multilevel"/>
    <w:tmpl w:val="6D7E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F515C"/>
    <w:multiLevelType w:val="multilevel"/>
    <w:tmpl w:val="F5CC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4C322C"/>
    <w:multiLevelType w:val="multilevel"/>
    <w:tmpl w:val="F602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712B65"/>
    <w:multiLevelType w:val="multilevel"/>
    <w:tmpl w:val="E69A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F135E6"/>
    <w:multiLevelType w:val="multilevel"/>
    <w:tmpl w:val="CAC8F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716C1"/>
    <w:multiLevelType w:val="multilevel"/>
    <w:tmpl w:val="53344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7978DC"/>
    <w:multiLevelType w:val="multilevel"/>
    <w:tmpl w:val="9F9C8FAA"/>
    <w:lvl w:ilvl="0">
      <w:start w:val="1"/>
      <w:numFmt w:val="bullet"/>
      <w:pStyle w:val="ListParagraph"/>
      <w:lvlText w:val="●"/>
      <w:lvlJc w:val="left"/>
      <w:pPr>
        <w:ind w:left="720" w:hanging="360"/>
      </w:pPr>
      <w:rPr>
        <w:rFonts w:ascii="Noto Sans Symbols" w:eastAsia="Noto Sans Symbols" w:hAnsi="Noto Sans Symbols" w:cs="Noto Sans Symbols"/>
        <w:color w:val="005250"/>
      </w:rPr>
    </w:lvl>
    <w:lvl w:ilvl="1">
      <w:start w:val="1"/>
      <w:numFmt w:val="bullet"/>
      <w:lvlText w:val="o"/>
      <w:lvlJc w:val="left"/>
      <w:pPr>
        <w:ind w:left="1440" w:hanging="360"/>
      </w:pPr>
      <w:rPr>
        <w:rFonts w:ascii="Courier New" w:eastAsia="Courier New" w:hAnsi="Courier New" w:cs="Courier New"/>
        <w:color w:val="005250"/>
      </w:rPr>
    </w:lvl>
    <w:lvl w:ilvl="2">
      <w:start w:val="1"/>
      <w:numFmt w:val="bullet"/>
      <w:lvlText w:val="▪"/>
      <w:lvlJc w:val="left"/>
      <w:pPr>
        <w:ind w:left="2160" w:hanging="360"/>
      </w:pPr>
      <w:rPr>
        <w:rFonts w:ascii="Noto Sans Symbols" w:eastAsia="Noto Sans Symbols" w:hAnsi="Noto Sans Symbols" w:cs="Noto Sans Symbols"/>
        <w:color w:val="005250"/>
      </w:rPr>
    </w:lvl>
    <w:lvl w:ilvl="3">
      <w:start w:val="1"/>
      <w:numFmt w:val="bullet"/>
      <w:lvlText w:val="🢭"/>
      <w:lvlJc w:val="left"/>
      <w:pPr>
        <w:ind w:left="2880" w:hanging="360"/>
      </w:pPr>
      <w:rPr>
        <w:rFonts w:ascii="Noto Sans Symbols" w:eastAsia="Noto Sans Symbols" w:hAnsi="Noto Sans Symbols" w:cs="Noto Sans Symbols"/>
        <w:color w:val="005250"/>
      </w:rPr>
    </w:lvl>
    <w:lvl w:ilvl="4">
      <w:start w:val="1"/>
      <w:numFmt w:val="bullet"/>
      <w:lvlText w:val="⬧"/>
      <w:lvlJc w:val="left"/>
      <w:pPr>
        <w:ind w:left="3600" w:hanging="360"/>
      </w:pPr>
      <w:rPr>
        <w:rFonts w:ascii="Noto Sans Symbols" w:eastAsia="Noto Sans Symbols" w:hAnsi="Noto Sans Symbols" w:cs="Noto Sans Symbols"/>
        <w:color w:val="005250"/>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BE943BB"/>
    <w:multiLevelType w:val="multilevel"/>
    <w:tmpl w:val="274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840FD0"/>
    <w:multiLevelType w:val="multilevel"/>
    <w:tmpl w:val="90663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D978E2"/>
    <w:multiLevelType w:val="multilevel"/>
    <w:tmpl w:val="6E705052"/>
    <w:lvl w:ilvl="0">
      <w:start w:val="1"/>
      <w:numFmt w:val="decimal"/>
      <w:lvlText w:val="%1."/>
      <w:lvlJc w:val="left"/>
      <w:pPr>
        <w:ind w:left="720" w:hanging="360"/>
      </w:pPr>
    </w:lvl>
    <w:lvl w:ilvl="1">
      <w:start w:val="1"/>
      <w:numFmt w:val="upperLetter"/>
      <w:lvlText w:val="%2."/>
      <w:lvlJc w:val="left"/>
      <w:pPr>
        <w:ind w:left="1440" w:hanging="360"/>
      </w:pPr>
    </w:lvl>
    <w:lvl w:ilvl="2">
      <w:start w:val="1"/>
      <w:numFmt w:val="upperRoman"/>
      <w:lvlText w:val="%3."/>
      <w:lvlJc w:val="right"/>
      <w:pPr>
        <w:ind w:left="2340" w:hanging="360"/>
      </w:pPr>
    </w:lvl>
    <w:lvl w:ilvl="3">
      <w:start w:val="1"/>
      <w:numFmt w:val="lowerLetter"/>
      <w:lvlText w:val="%4."/>
      <w:lvlJc w:val="left"/>
      <w:pPr>
        <w:ind w:left="2880" w:hanging="360"/>
      </w:pPr>
    </w:lvl>
    <w:lvl w:ilvl="4">
      <w:start w:val="1"/>
      <w:numFmt w:val="lowerRoman"/>
      <w:lvlText w:val="%5."/>
      <w:lvlJc w:val="righ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E8116A3"/>
    <w:multiLevelType w:val="multilevel"/>
    <w:tmpl w:val="225EC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CE7968"/>
    <w:multiLevelType w:val="multilevel"/>
    <w:tmpl w:val="B48E5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1C4A92"/>
    <w:multiLevelType w:val="multilevel"/>
    <w:tmpl w:val="E9143FD6"/>
    <w:lvl w:ilvl="0">
      <w:start w:val="1"/>
      <w:numFmt w:val="decimal"/>
      <w:pStyle w:val="ListNumb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8BE5FEC"/>
    <w:multiLevelType w:val="multilevel"/>
    <w:tmpl w:val="5E16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B455AF1"/>
    <w:multiLevelType w:val="multilevel"/>
    <w:tmpl w:val="346ED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5E136D"/>
    <w:multiLevelType w:val="multilevel"/>
    <w:tmpl w:val="C128B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C20AEB"/>
    <w:multiLevelType w:val="multilevel"/>
    <w:tmpl w:val="32B22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618982">
    <w:abstractNumId w:val="13"/>
  </w:num>
  <w:num w:numId="2" w16cid:durableId="1732193645">
    <w:abstractNumId w:val="16"/>
  </w:num>
  <w:num w:numId="3" w16cid:durableId="1639651836">
    <w:abstractNumId w:val="19"/>
  </w:num>
  <w:num w:numId="4" w16cid:durableId="168639558">
    <w:abstractNumId w:val="3"/>
  </w:num>
  <w:num w:numId="5" w16cid:durableId="118031049">
    <w:abstractNumId w:val="11"/>
  </w:num>
  <w:num w:numId="6" w16cid:durableId="1816483127">
    <w:abstractNumId w:val="6"/>
  </w:num>
  <w:num w:numId="7" w16cid:durableId="339164585">
    <w:abstractNumId w:val="15"/>
  </w:num>
  <w:num w:numId="8" w16cid:durableId="234703502">
    <w:abstractNumId w:val="14"/>
  </w:num>
  <w:num w:numId="9" w16cid:durableId="1319578580">
    <w:abstractNumId w:val="5"/>
  </w:num>
  <w:num w:numId="10" w16cid:durableId="1126386728">
    <w:abstractNumId w:val="7"/>
  </w:num>
  <w:num w:numId="11" w16cid:durableId="872310459">
    <w:abstractNumId w:val="23"/>
  </w:num>
  <w:num w:numId="12" w16cid:durableId="1460103328">
    <w:abstractNumId w:val="21"/>
  </w:num>
  <w:num w:numId="13" w16cid:durableId="1631934846">
    <w:abstractNumId w:val="17"/>
  </w:num>
  <w:num w:numId="14" w16cid:durableId="450787974">
    <w:abstractNumId w:val="20"/>
  </w:num>
  <w:num w:numId="15" w16cid:durableId="219243989">
    <w:abstractNumId w:val="22"/>
  </w:num>
  <w:num w:numId="16" w16cid:durableId="486868577">
    <w:abstractNumId w:val="8"/>
  </w:num>
  <w:num w:numId="17" w16cid:durableId="467092710">
    <w:abstractNumId w:val="2"/>
  </w:num>
  <w:num w:numId="18" w16cid:durableId="1626740176">
    <w:abstractNumId w:val="12"/>
  </w:num>
  <w:num w:numId="19" w16cid:durableId="2000230771">
    <w:abstractNumId w:val="4"/>
  </w:num>
  <w:num w:numId="20" w16cid:durableId="1887990909">
    <w:abstractNumId w:val="18"/>
  </w:num>
  <w:num w:numId="21" w16cid:durableId="1541166407">
    <w:abstractNumId w:val="10"/>
  </w:num>
  <w:num w:numId="22" w16cid:durableId="985627584">
    <w:abstractNumId w:val="9"/>
  </w:num>
  <w:num w:numId="23" w16cid:durableId="1743523421">
    <w:abstractNumId w:val="1"/>
  </w:num>
  <w:num w:numId="24" w16cid:durableId="150608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F4"/>
    <w:rsid w:val="00117B21"/>
    <w:rsid w:val="001312E7"/>
    <w:rsid w:val="002145D6"/>
    <w:rsid w:val="0025144A"/>
    <w:rsid w:val="00333678"/>
    <w:rsid w:val="004F269E"/>
    <w:rsid w:val="005513B1"/>
    <w:rsid w:val="005C21F4"/>
    <w:rsid w:val="00783278"/>
    <w:rsid w:val="00790454"/>
    <w:rsid w:val="008F4BAA"/>
    <w:rsid w:val="00934D3B"/>
    <w:rsid w:val="009D762E"/>
    <w:rsid w:val="00A32AC6"/>
    <w:rsid w:val="00A36E92"/>
    <w:rsid w:val="00A705BB"/>
    <w:rsid w:val="00A859E7"/>
    <w:rsid w:val="00B22C9E"/>
    <w:rsid w:val="00C93636"/>
    <w:rsid w:val="00CA732C"/>
    <w:rsid w:val="00D06AD7"/>
    <w:rsid w:val="00D6208E"/>
    <w:rsid w:val="00E33D54"/>
    <w:rsid w:val="00F0432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82BB8"/>
  <w15:docId w15:val="{65678866-BFF0-48D4-B325-C06F79C19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re Franklin" w:eastAsia="Libre Franklin" w:hAnsi="Libre Franklin" w:cs="Libre Franklin"/>
        <w:sz w:val="24"/>
        <w:szCs w:val="24"/>
        <w:lang w:val="en" w:eastAsia="en-US" w:bidi="ar-SA"/>
      </w:rPr>
    </w:rPrDefault>
    <w:pPrDefault>
      <w:pPr>
        <w:spacing w:after="12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0" w:line="252" w:lineRule="auto"/>
    </w:pPr>
    <w:rPr>
      <w:rFonts w:ascii="Arial" w:hAnsi="Arial"/>
      <w:color w:val="2D2D2D"/>
      <w:sz w:val="21"/>
    </w:rPr>
  </w:style>
  <w:style w:type="paragraph" w:styleId="Heading1">
    <w:name w:val="heading 1"/>
    <w:basedOn w:val="Normal"/>
    <w:next w:val="Normal"/>
    <w:link w:val="Heading1Char"/>
    <w:uiPriority w:val="9"/>
    <w:qFormat/>
    <w:pPr>
      <w:keepNext/>
      <w:keepLines/>
      <w:spacing w:before="240"/>
      <w:outlineLvl w:val="0"/>
    </w:pPr>
    <w:rPr>
      <w:rFonts w:eastAsia="Franklin Gothic" w:cs="Franklin Gothic"/>
      <w:b/>
      <w:color w:val="006666"/>
      <w:sz w:val="30"/>
      <w:szCs w:val="36"/>
    </w:rPr>
  </w:style>
  <w:style w:type="paragraph" w:styleId="Heading2">
    <w:name w:val="heading 2"/>
    <w:basedOn w:val="Normal"/>
    <w:next w:val="Normal"/>
    <w:link w:val="Heading2Char"/>
    <w:uiPriority w:val="9"/>
    <w:unhideWhenUsed/>
    <w:qFormat/>
    <w:pPr>
      <w:keepNext/>
      <w:keepLines/>
      <w:spacing w:before="160" w:after="60"/>
      <w:outlineLvl w:val="1"/>
    </w:pPr>
    <w:rPr>
      <w:rFonts w:eastAsia="Libre Franklin Medium" w:cs="Libre Franklin Medium"/>
      <w:b/>
      <w:sz w:val="23"/>
      <w:szCs w:val="32"/>
    </w:rPr>
  </w:style>
  <w:style w:type="paragraph" w:styleId="Heading3">
    <w:name w:val="heading 3"/>
    <w:basedOn w:val="Normal"/>
    <w:next w:val="Normal"/>
    <w:link w:val="Heading3Char"/>
    <w:uiPriority w:val="9"/>
    <w:unhideWhenUsed/>
    <w:qFormat/>
    <w:pPr>
      <w:pBdr>
        <w:bottom w:val="single" w:sz="4" w:space="1" w:color="000000"/>
      </w:pBdr>
      <w:spacing w:before="160" w:after="80"/>
      <w:outlineLvl w:val="2"/>
    </w:pPr>
    <w:rPr>
      <w:b/>
      <w:bCs/>
      <w:color w:val="2D2828"/>
    </w:rPr>
  </w:style>
  <w:style w:type="paragraph" w:styleId="Heading4">
    <w:name w:val="heading 4"/>
    <w:basedOn w:val="Normal"/>
    <w:next w:val="Normal"/>
    <w:link w:val="Heading4Char"/>
    <w:uiPriority w:val="9"/>
    <w:unhideWhenUsed/>
    <w:qFormat/>
    <w:pPr>
      <w:spacing w:before="80" w:after="80"/>
      <w:outlineLvl w:val="3"/>
    </w:pPr>
    <w:rPr>
      <w:b/>
      <w:bCs/>
      <w:i/>
      <w:iCs/>
      <w:color w:val="005250"/>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05F5F"/>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7B6D6D"/>
    </w:rPr>
  </w:style>
  <w:style w:type="paragraph" w:styleId="Heading7">
    <w:name w:val="heading 7"/>
    <w:basedOn w:val="Normal"/>
    <w:next w:val="Normal"/>
    <w:link w:val="Heading7Char"/>
    <w:uiPriority w:val="9"/>
    <w:semiHidden/>
    <w:unhideWhenUsed/>
    <w:qFormat/>
    <w:rsid w:val="009E40B6"/>
    <w:pPr>
      <w:keepNext/>
      <w:keepLines/>
      <w:spacing w:before="40" w:after="0"/>
      <w:outlineLvl w:val="6"/>
    </w:pPr>
    <w:rPr>
      <w:rFonts w:eastAsiaTheme="majorEastAsia" w:cstheme="majorBidi"/>
      <w:color w:val="7B6D6D" w:themeColor="text1" w:themeTint="A6"/>
    </w:rPr>
  </w:style>
  <w:style w:type="paragraph" w:styleId="Heading8">
    <w:name w:val="heading 8"/>
    <w:basedOn w:val="Normal"/>
    <w:next w:val="Normal"/>
    <w:link w:val="Heading8Char"/>
    <w:uiPriority w:val="9"/>
    <w:semiHidden/>
    <w:unhideWhenUsed/>
    <w:qFormat/>
    <w:rsid w:val="009E40B6"/>
    <w:pPr>
      <w:keepNext/>
      <w:keepLines/>
      <w:spacing w:after="0"/>
      <w:outlineLvl w:val="7"/>
    </w:pPr>
    <w:rPr>
      <w:rFonts w:eastAsiaTheme="majorEastAsia" w:cstheme="majorBidi"/>
      <w:i/>
      <w:iCs/>
      <w:color w:val="4F4646" w:themeColor="text1" w:themeTint="D8"/>
    </w:rPr>
  </w:style>
  <w:style w:type="paragraph" w:styleId="Heading9">
    <w:name w:val="heading 9"/>
    <w:basedOn w:val="Normal"/>
    <w:next w:val="Normal"/>
    <w:link w:val="Heading9Char"/>
    <w:uiPriority w:val="9"/>
    <w:semiHidden/>
    <w:unhideWhenUsed/>
    <w:qFormat/>
    <w:rsid w:val="009E40B6"/>
    <w:pPr>
      <w:keepNext/>
      <w:keepLines/>
      <w:spacing w:after="0"/>
      <w:outlineLvl w:val="8"/>
    </w:pPr>
    <w:rPr>
      <w:rFonts w:eastAsiaTheme="majorEastAsia" w:cstheme="majorBidi"/>
      <w:color w:val="4F464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0" w:after="200"/>
      <w:jc w:val="center"/>
    </w:pPr>
    <w:rPr>
      <w:rFonts w:ascii="Georgia" w:eastAsia="Franklin Gothic" w:hAnsi="Georgia" w:cs="Franklin Gothic"/>
      <w:color w:val="006666"/>
      <w:sz w:val="46"/>
      <w:szCs w:val="36"/>
    </w:rPr>
  </w:style>
  <w:style w:type="character" w:customStyle="1" w:styleId="Heading1Char">
    <w:name w:val="Heading 1 Char"/>
    <w:basedOn w:val="DefaultParagraphFont"/>
    <w:link w:val="Heading1"/>
    <w:uiPriority w:val="9"/>
    <w:rsid w:val="00081517"/>
    <w:rPr>
      <w:rFonts w:ascii="Franklin Gothic Demi" w:eastAsiaTheme="majorEastAsia" w:hAnsi="Franklin Gothic Demi" w:cstheme="majorBidi"/>
      <w:color w:val="005F5F" w:themeColor="accent1" w:themeShade="BF"/>
      <w:sz w:val="36"/>
      <w:szCs w:val="36"/>
    </w:rPr>
  </w:style>
  <w:style w:type="character" w:customStyle="1" w:styleId="Heading2Char">
    <w:name w:val="Heading 2 Char"/>
    <w:basedOn w:val="DefaultParagraphFont"/>
    <w:link w:val="Heading2"/>
    <w:uiPriority w:val="9"/>
    <w:rsid w:val="007F5064"/>
    <w:rPr>
      <w:rFonts w:ascii="Franklin Gothic Medium" w:eastAsiaTheme="majorEastAsia" w:hAnsi="Franklin Gothic Medium" w:cstheme="majorBidi"/>
      <w:color w:val="005F5F" w:themeColor="accent1" w:themeShade="BF"/>
      <w:sz w:val="32"/>
      <w:szCs w:val="32"/>
    </w:rPr>
  </w:style>
  <w:style w:type="character" w:customStyle="1" w:styleId="Heading3Char">
    <w:name w:val="Heading 3 Char"/>
    <w:basedOn w:val="DefaultParagraphFont"/>
    <w:link w:val="Heading3"/>
    <w:uiPriority w:val="9"/>
    <w:rsid w:val="00786DC2"/>
    <w:rPr>
      <w:rFonts w:ascii="Franklin Gothic Book" w:hAnsi="Franklin Gothic Book"/>
      <w:b/>
      <w:bCs/>
      <w:color w:val="2D2828" w:themeColor="text1"/>
    </w:rPr>
  </w:style>
  <w:style w:type="character" w:customStyle="1" w:styleId="Heading4Char">
    <w:name w:val="Heading 4 Char"/>
    <w:basedOn w:val="DefaultParagraphFont"/>
    <w:link w:val="Heading4"/>
    <w:uiPriority w:val="9"/>
    <w:rsid w:val="00E63670"/>
    <w:rPr>
      <w:rFonts w:ascii="Franklin Gothic Book" w:hAnsi="Franklin Gothic Book"/>
      <w:b/>
      <w:bCs/>
      <w:i/>
      <w:iCs/>
      <w:color w:val="005250" w:themeColor="accent6"/>
    </w:rPr>
  </w:style>
  <w:style w:type="character" w:customStyle="1" w:styleId="Heading5Char">
    <w:name w:val="Heading 5 Char"/>
    <w:basedOn w:val="DefaultParagraphFont"/>
    <w:link w:val="Heading5"/>
    <w:uiPriority w:val="9"/>
    <w:semiHidden/>
    <w:rsid w:val="009E40B6"/>
    <w:rPr>
      <w:rFonts w:eastAsiaTheme="majorEastAsia" w:cstheme="majorBidi"/>
      <w:color w:val="005F5F" w:themeColor="accent1" w:themeShade="BF"/>
    </w:rPr>
  </w:style>
  <w:style w:type="character" w:customStyle="1" w:styleId="Heading6Char">
    <w:name w:val="Heading 6 Char"/>
    <w:basedOn w:val="DefaultParagraphFont"/>
    <w:link w:val="Heading6"/>
    <w:uiPriority w:val="9"/>
    <w:semiHidden/>
    <w:rsid w:val="009E40B6"/>
    <w:rPr>
      <w:rFonts w:eastAsiaTheme="majorEastAsia" w:cstheme="majorBidi"/>
      <w:i/>
      <w:iCs/>
      <w:color w:val="7B6D6D" w:themeColor="text1" w:themeTint="A6"/>
    </w:rPr>
  </w:style>
  <w:style w:type="character" w:customStyle="1" w:styleId="Heading7Char">
    <w:name w:val="Heading 7 Char"/>
    <w:basedOn w:val="DefaultParagraphFont"/>
    <w:link w:val="Heading7"/>
    <w:uiPriority w:val="9"/>
    <w:semiHidden/>
    <w:rsid w:val="009E40B6"/>
    <w:rPr>
      <w:rFonts w:eastAsiaTheme="majorEastAsia" w:cstheme="majorBidi"/>
      <w:color w:val="7B6D6D" w:themeColor="text1" w:themeTint="A6"/>
    </w:rPr>
  </w:style>
  <w:style w:type="character" w:customStyle="1" w:styleId="Heading8Char">
    <w:name w:val="Heading 8 Char"/>
    <w:basedOn w:val="DefaultParagraphFont"/>
    <w:link w:val="Heading8"/>
    <w:uiPriority w:val="9"/>
    <w:semiHidden/>
    <w:rsid w:val="009E40B6"/>
    <w:rPr>
      <w:rFonts w:eastAsiaTheme="majorEastAsia" w:cstheme="majorBidi"/>
      <w:i/>
      <w:iCs/>
      <w:color w:val="4F4646" w:themeColor="text1" w:themeTint="D8"/>
    </w:rPr>
  </w:style>
  <w:style w:type="character" w:customStyle="1" w:styleId="Heading9Char">
    <w:name w:val="Heading 9 Char"/>
    <w:basedOn w:val="DefaultParagraphFont"/>
    <w:link w:val="Heading9"/>
    <w:uiPriority w:val="9"/>
    <w:semiHidden/>
    <w:rsid w:val="009E40B6"/>
    <w:rPr>
      <w:rFonts w:eastAsiaTheme="majorEastAsia" w:cstheme="majorBidi"/>
      <w:color w:val="4F4646" w:themeColor="text1" w:themeTint="D8"/>
    </w:rPr>
  </w:style>
  <w:style w:type="character" w:customStyle="1" w:styleId="TitleChar">
    <w:name w:val="Title Char"/>
    <w:basedOn w:val="DefaultParagraphFont"/>
    <w:link w:val="Title"/>
    <w:uiPriority w:val="10"/>
    <w:rsid w:val="00081517"/>
    <w:rPr>
      <w:rFonts w:ascii="Franklin Gothic Demi" w:eastAsiaTheme="majorEastAsia" w:hAnsi="Franklin Gothic Demi" w:cstheme="majorBidi"/>
      <w:color w:val="005F5F" w:themeColor="accent1" w:themeShade="BF"/>
      <w:sz w:val="36"/>
      <w:szCs w:val="36"/>
    </w:rPr>
  </w:style>
  <w:style w:type="character" w:customStyle="1" w:styleId="SubtitleChar">
    <w:name w:val="Subtitle Char"/>
    <w:basedOn w:val="DefaultParagraphFont"/>
    <w:link w:val="Subtitle"/>
    <w:uiPriority w:val="11"/>
    <w:rsid w:val="009E40B6"/>
    <w:rPr>
      <w:rFonts w:eastAsiaTheme="majorEastAsia" w:cstheme="majorBidi"/>
      <w:color w:val="7B6D6D" w:themeColor="text1" w:themeTint="A6"/>
      <w:spacing w:val="15"/>
      <w:sz w:val="28"/>
      <w:szCs w:val="28"/>
    </w:rPr>
  </w:style>
  <w:style w:type="paragraph" w:styleId="Quote">
    <w:name w:val="Quote"/>
    <w:basedOn w:val="Normal"/>
    <w:next w:val="Normal"/>
    <w:link w:val="QuoteChar"/>
    <w:uiPriority w:val="29"/>
    <w:rsid w:val="009E40B6"/>
    <w:pPr>
      <w:spacing w:before="160"/>
      <w:jc w:val="center"/>
    </w:pPr>
    <w:rPr>
      <w:i/>
      <w:iCs/>
      <w:color w:val="655A5A" w:themeColor="text1" w:themeTint="BF"/>
    </w:rPr>
  </w:style>
  <w:style w:type="character" w:customStyle="1" w:styleId="QuoteChar">
    <w:name w:val="Quote Char"/>
    <w:basedOn w:val="DefaultParagraphFont"/>
    <w:link w:val="Quote"/>
    <w:uiPriority w:val="29"/>
    <w:rsid w:val="009E40B6"/>
    <w:rPr>
      <w:i/>
      <w:iCs/>
      <w:color w:val="655A5A" w:themeColor="text1" w:themeTint="BF"/>
    </w:rPr>
  </w:style>
  <w:style w:type="paragraph" w:styleId="ListParagraph">
    <w:name w:val="List Paragraph"/>
    <w:basedOn w:val="Normal"/>
    <w:uiPriority w:val="34"/>
    <w:qFormat/>
    <w:rsid w:val="00AA4CCB"/>
    <w:pPr>
      <w:numPr>
        <w:numId w:val="1"/>
      </w:numPr>
      <w:contextualSpacing/>
    </w:pPr>
  </w:style>
  <w:style w:type="character" w:styleId="IntenseEmphasis">
    <w:name w:val="Intense Emphasis"/>
    <w:basedOn w:val="DefaultParagraphFont"/>
    <w:uiPriority w:val="21"/>
    <w:rsid w:val="009E40B6"/>
    <w:rPr>
      <w:i/>
      <w:iCs/>
      <w:color w:val="005F5F" w:themeColor="accent1" w:themeShade="BF"/>
    </w:rPr>
  </w:style>
  <w:style w:type="paragraph" w:styleId="IntenseQuote">
    <w:name w:val="Intense Quote"/>
    <w:basedOn w:val="Normal"/>
    <w:next w:val="Normal"/>
    <w:link w:val="IntenseQuoteChar"/>
    <w:uiPriority w:val="30"/>
    <w:rsid w:val="009E40B6"/>
    <w:pPr>
      <w:pBdr>
        <w:top w:val="single" w:sz="4" w:space="10" w:color="005F5F" w:themeColor="accent1" w:themeShade="BF"/>
        <w:bottom w:val="single" w:sz="4" w:space="10" w:color="005F5F" w:themeColor="accent1" w:themeShade="BF"/>
      </w:pBdr>
      <w:spacing w:before="360" w:after="360"/>
      <w:ind w:left="864" w:right="864"/>
      <w:jc w:val="center"/>
    </w:pPr>
    <w:rPr>
      <w:i/>
      <w:iCs/>
      <w:color w:val="005F5F" w:themeColor="accent1" w:themeShade="BF"/>
    </w:rPr>
  </w:style>
  <w:style w:type="character" w:customStyle="1" w:styleId="IntenseQuoteChar">
    <w:name w:val="Intense Quote Char"/>
    <w:basedOn w:val="DefaultParagraphFont"/>
    <w:link w:val="IntenseQuote"/>
    <w:uiPriority w:val="30"/>
    <w:rsid w:val="009E40B6"/>
    <w:rPr>
      <w:i/>
      <w:iCs/>
      <w:color w:val="005F5F" w:themeColor="accent1" w:themeShade="BF"/>
    </w:rPr>
  </w:style>
  <w:style w:type="character" w:styleId="IntenseReference">
    <w:name w:val="Intense Reference"/>
    <w:basedOn w:val="DefaultParagraphFont"/>
    <w:uiPriority w:val="32"/>
    <w:rsid w:val="009E40B6"/>
    <w:rPr>
      <w:b/>
      <w:bCs/>
      <w:smallCaps/>
      <w:color w:val="005F5F" w:themeColor="accent1" w:themeShade="BF"/>
      <w:spacing w:val="5"/>
    </w:rPr>
  </w:style>
  <w:style w:type="paragraph" w:styleId="Header">
    <w:name w:val="header"/>
    <w:basedOn w:val="Normal"/>
    <w:link w:val="HeaderChar"/>
    <w:uiPriority w:val="99"/>
    <w:unhideWhenUsed/>
    <w:rsid w:val="002308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874"/>
  </w:style>
  <w:style w:type="paragraph" w:styleId="Footer">
    <w:name w:val="footer"/>
    <w:basedOn w:val="Normal"/>
    <w:link w:val="FooterChar"/>
    <w:uiPriority w:val="99"/>
    <w:unhideWhenUsed/>
    <w:rsid w:val="002308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874"/>
  </w:style>
  <w:style w:type="paragraph" w:styleId="ListNumber">
    <w:name w:val="List Number"/>
    <w:basedOn w:val="ListParagraph"/>
    <w:uiPriority w:val="99"/>
    <w:unhideWhenUsed/>
    <w:qFormat/>
    <w:rsid w:val="00AA4CCB"/>
    <w:pPr>
      <w:numPr>
        <w:numId w:val="3"/>
      </w:numPr>
    </w:pPr>
  </w:style>
  <w:style w:type="character" w:styleId="Hyperlink">
    <w:name w:val="Hyperlink"/>
    <w:uiPriority w:val="99"/>
    <w:unhideWhenUsed/>
    <w:qFormat/>
    <w:rsid w:val="006A210E"/>
    <w:rPr>
      <w:b/>
      <w:bCs/>
      <w:color w:val="005250" w:themeColor="accent6"/>
      <w:u w:val="single"/>
    </w:rPr>
  </w:style>
  <w:style w:type="character" w:styleId="FollowedHyperlink">
    <w:name w:val="FollowedHyperlink"/>
    <w:uiPriority w:val="99"/>
    <w:unhideWhenUsed/>
    <w:qFormat/>
    <w:rsid w:val="006A210E"/>
    <w:rPr>
      <w:color w:val="891526" w:themeColor="accent2"/>
    </w:rPr>
  </w:style>
  <w:style w:type="character" w:styleId="CommentReference">
    <w:name w:val="annotation reference"/>
    <w:basedOn w:val="DefaultParagraphFont"/>
    <w:uiPriority w:val="99"/>
    <w:semiHidden/>
    <w:unhideWhenUsed/>
    <w:rsid w:val="00587F8A"/>
    <w:rPr>
      <w:sz w:val="16"/>
      <w:szCs w:val="16"/>
    </w:rPr>
  </w:style>
  <w:style w:type="paragraph" w:styleId="CommentText">
    <w:name w:val="annotation text"/>
    <w:basedOn w:val="Normal"/>
    <w:link w:val="CommentTextChar"/>
    <w:uiPriority w:val="99"/>
    <w:unhideWhenUsed/>
    <w:rsid w:val="00587F8A"/>
    <w:pPr>
      <w:spacing w:line="240" w:lineRule="auto"/>
    </w:pPr>
    <w:rPr>
      <w:sz w:val="20"/>
      <w:szCs w:val="20"/>
    </w:rPr>
  </w:style>
  <w:style w:type="character" w:customStyle="1" w:styleId="CommentTextChar">
    <w:name w:val="Comment Text Char"/>
    <w:basedOn w:val="DefaultParagraphFont"/>
    <w:link w:val="CommentText"/>
    <w:uiPriority w:val="99"/>
    <w:rsid w:val="00587F8A"/>
    <w:rPr>
      <w:rFonts w:ascii="Franklin Gothic Book" w:hAnsi="Franklin Gothic Book"/>
      <w:sz w:val="20"/>
      <w:szCs w:val="20"/>
    </w:rPr>
  </w:style>
  <w:style w:type="paragraph" w:styleId="CommentSubject">
    <w:name w:val="annotation subject"/>
    <w:basedOn w:val="CommentText"/>
    <w:next w:val="CommentText"/>
    <w:link w:val="CommentSubjectChar"/>
    <w:uiPriority w:val="99"/>
    <w:semiHidden/>
    <w:unhideWhenUsed/>
    <w:rsid w:val="00587F8A"/>
    <w:rPr>
      <w:b/>
      <w:bCs/>
    </w:rPr>
  </w:style>
  <w:style w:type="character" w:customStyle="1" w:styleId="CommentSubjectChar">
    <w:name w:val="Comment Subject Char"/>
    <w:basedOn w:val="CommentTextChar"/>
    <w:link w:val="CommentSubject"/>
    <w:uiPriority w:val="99"/>
    <w:semiHidden/>
    <w:rsid w:val="00587F8A"/>
    <w:rPr>
      <w:rFonts w:ascii="Franklin Gothic Book" w:hAnsi="Franklin Gothic Book"/>
      <w:b/>
      <w:bCs/>
      <w:sz w:val="20"/>
      <w:szCs w:val="20"/>
    </w:rPr>
  </w:style>
  <w:style w:type="paragraph" w:styleId="Subtitle">
    <w:name w:val="Subtitle"/>
    <w:basedOn w:val="Normal"/>
    <w:next w:val="Normal"/>
    <w:link w:val="SubtitleChar"/>
    <w:uiPriority w:val="11"/>
    <w:qFormat/>
    <w:rPr>
      <w:color w:val="7B6D6D"/>
      <w:sz w:val="28"/>
      <w:szCs w:val="28"/>
    </w:rPr>
  </w:style>
  <w:style w:type="paragraph" w:styleId="NormalWeb">
    <w:name w:val="Normal (Web)"/>
    <w:basedOn w:val="Normal"/>
    <w:uiPriority w:val="99"/>
    <w:unhideWhenUsed/>
    <w:rsid w:val="00D6208E"/>
    <w:pPr>
      <w:spacing w:before="100" w:beforeAutospacing="1" w:afterAutospacing="1" w:line="240" w:lineRule="auto"/>
    </w:pPr>
    <w:rPr>
      <w:rFonts w:ascii="Times New Roman" w:eastAsia="Times New Roman" w:hAnsi="Times New Roman" w:cs="Times New Roman"/>
      <w:lang w:val="en-US"/>
    </w:rPr>
  </w:style>
  <w:style w:type="character" w:customStyle="1" w:styleId="citation-110">
    <w:name w:val="citation-110"/>
    <w:basedOn w:val="DefaultParagraphFont"/>
    <w:rsid w:val="00D6208E"/>
  </w:style>
  <w:style w:type="character" w:customStyle="1" w:styleId="citation-109">
    <w:name w:val="citation-109"/>
    <w:basedOn w:val="DefaultParagraphFont"/>
    <w:rsid w:val="00D6208E"/>
  </w:style>
  <w:style w:type="character" w:customStyle="1" w:styleId="citation-108">
    <w:name w:val="citation-108"/>
    <w:basedOn w:val="DefaultParagraphFont"/>
    <w:rsid w:val="00D6208E"/>
  </w:style>
  <w:style w:type="character" w:customStyle="1" w:styleId="citation-107">
    <w:name w:val="citation-107"/>
    <w:basedOn w:val="DefaultParagraphFont"/>
    <w:rsid w:val="00D6208E"/>
  </w:style>
  <w:style w:type="character" w:customStyle="1" w:styleId="citation-106">
    <w:name w:val="citation-106"/>
    <w:basedOn w:val="DefaultParagraphFont"/>
    <w:rsid w:val="00D6208E"/>
  </w:style>
  <w:style w:type="character" w:customStyle="1" w:styleId="citation-105">
    <w:name w:val="citation-105"/>
    <w:basedOn w:val="DefaultParagraphFont"/>
    <w:rsid w:val="00D6208E"/>
  </w:style>
  <w:style w:type="character" w:customStyle="1" w:styleId="citation-104">
    <w:name w:val="citation-104"/>
    <w:basedOn w:val="DefaultParagraphFont"/>
    <w:rsid w:val="00D6208E"/>
  </w:style>
  <w:style w:type="character" w:customStyle="1" w:styleId="citation-103">
    <w:name w:val="citation-103"/>
    <w:basedOn w:val="DefaultParagraphFont"/>
    <w:rsid w:val="00D6208E"/>
  </w:style>
  <w:style w:type="character" w:customStyle="1" w:styleId="citation-102">
    <w:name w:val="citation-102"/>
    <w:basedOn w:val="DefaultParagraphFont"/>
    <w:rsid w:val="00D6208E"/>
  </w:style>
  <w:style w:type="character" w:customStyle="1" w:styleId="citation-101">
    <w:name w:val="citation-101"/>
    <w:basedOn w:val="DefaultParagraphFont"/>
    <w:rsid w:val="00D6208E"/>
  </w:style>
  <w:style w:type="character" w:customStyle="1" w:styleId="citation-100">
    <w:name w:val="citation-100"/>
    <w:basedOn w:val="DefaultParagraphFont"/>
    <w:rsid w:val="00D6208E"/>
  </w:style>
  <w:style w:type="character" w:customStyle="1" w:styleId="citation-99">
    <w:name w:val="citation-99"/>
    <w:basedOn w:val="DefaultParagraphFont"/>
    <w:rsid w:val="00D6208E"/>
  </w:style>
  <w:style w:type="character" w:customStyle="1" w:styleId="citation-98">
    <w:name w:val="citation-98"/>
    <w:basedOn w:val="DefaultParagraphFont"/>
    <w:rsid w:val="00D6208E"/>
  </w:style>
  <w:style w:type="character" w:customStyle="1" w:styleId="citation-97">
    <w:name w:val="citation-97"/>
    <w:basedOn w:val="DefaultParagraphFont"/>
    <w:rsid w:val="00D6208E"/>
  </w:style>
  <w:style w:type="character" w:customStyle="1" w:styleId="citation-96">
    <w:name w:val="citation-96"/>
    <w:basedOn w:val="DefaultParagraphFont"/>
    <w:rsid w:val="00D6208E"/>
  </w:style>
  <w:style w:type="character" w:customStyle="1" w:styleId="citation-95">
    <w:name w:val="citation-95"/>
    <w:basedOn w:val="DefaultParagraphFont"/>
    <w:rsid w:val="00D6208E"/>
  </w:style>
  <w:style w:type="character" w:customStyle="1" w:styleId="citation-94">
    <w:name w:val="citation-94"/>
    <w:basedOn w:val="DefaultParagraphFont"/>
    <w:rsid w:val="00D6208E"/>
  </w:style>
  <w:style w:type="character" w:customStyle="1" w:styleId="citation-93">
    <w:name w:val="citation-93"/>
    <w:basedOn w:val="DefaultParagraphFont"/>
    <w:rsid w:val="00D6208E"/>
  </w:style>
  <w:style w:type="character" w:customStyle="1" w:styleId="citation-92">
    <w:name w:val="citation-92"/>
    <w:basedOn w:val="DefaultParagraphFont"/>
    <w:rsid w:val="00D6208E"/>
  </w:style>
  <w:style w:type="character" w:customStyle="1" w:styleId="citation-91">
    <w:name w:val="citation-91"/>
    <w:basedOn w:val="DefaultParagraphFont"/>
    <w:rsid w:val="00D6208E"/>
  </w:style>
  <w:style w:type="character" w:customStyle="1" w:styleId="citation-90">
    <w:name w:val="citation-90"/>
    <w:basedOn w:val="DefaultParagraphFont"/>
    <w:rsid w:val="00D6208E"/>
  </w:style>
  <w:style w:type="character" w:customStyle="1" w:styleId="citation-89">
    <w:name w:val="citation-89"/>
    <w:basedOn w:val="DefaultParagraphFont"/>
    <w:rsid w:val="00D6208E"/>
  </w:style>
  <w:style w:type="character" w:customStyle="1" w:styleId="citation-88">
    <w:name w:val="citation-88"/>
    <w:basedOn w:val="DefaultParagraphFont"/>
    <w:rsid w:val="00D6208E"/>
  </w:style>
  <w:style w:type="character" w:customStyle="1" w:styleId="citation-87">
    <w:name w:val="citation-87"/>
    <w:basedOn w:val="DefaultParagraphFont"/>
    <w:rsid w:val="00D6208E"/>
  </w:style>
  <w:style w:type="character" w:customStyle="1" w:styleId="citation-86">
    <w:name w:val="citation-86"/>
    <w:basedOn w:val="DefaultParagraphFont"/>
    <w:rsid w:val="00D6208E"/>
  </w:style>
  <w:style w:type="character" w:customStyle="1" w:styleId="citation-85">
    <w:name w:val="citation-85"/>
    <w:basedOn w:val="DefaultParagraphFont"/>
    <w:rsid w:val="00D6208E"/>
  </w:style>
  <w:style w:type="character" w:customStyle="1" w:styleId="citation-84">
    <w:name w:val="citation-84"/>
    <w:basedOn w:val="DefaultParagraphFont"/>
    <w:rsid w:val="00D6208E"/>
  </w:style>
  <w:style w:type="character" w:customStyle="1" w:styleId="citation-191">
    <w:name w:val="citation-191"/>
    <w:basedOn w:val="DefaultParagraphFont"/>
    <w:rsid w:val="00A859E7"/>
  </w:style>
  <w:style w:type="character" w:customStyle="1" w:styleId="citation-190">
    <w:name w:val="citation-190"/>
    <w:basedOn w:val="DefaultParagraphFont"/>
    <w:rsid w:val="00A859E7"/>
  </w:style>
  <w:style w:type="character" w:customStyle="1" w:styleId="citation-189">
    <w:name w:val="citation-189"/>
    <w:basedOn w:val="DefaultParagraphFont"/>
    <w:rsid w:val="00A859E7"/>
  </w:style>
  <w:style w:type="character" w:customStyle="1" w:styleId="citation-188">
    <w:name w:val="citation-188"/>
    <w:basedOn w:val="DefaultParagraphFont"/>
    <w:rsid w:val="00A859E7"/>
  </w:style>
  <w:style w:type="character" w:customStyle="1" w:styleId="citation-187">
    <w:name w:val="citation-187"/>
    <w:basedOn w:val="DefaultParagraphFont"/>
    <w:rsid w:val="00A859E7"/>
  </w:style>
  <w:style w:type="character" w:customStyle="1" w:styleId="citation-186">
    <w:name w:val="citation-186"/>
    <w:basedOn w:val="DefaultParagraphFont"/>
    <w:rsid w:val="00A859E7"/>
  </w:style>
  <w:style w:type="character" w:customStyle="1" w:styleId="citation-185">
    <w:name w:val="citation-185"/>
    <w:basedOn w:val="DefaultParagraphFont"/>
    <w:rsid w:val="00A859E7"/>
  </w:style>
  <w:style w:type="character" w:customStyle="1" w:styleId="citation-184">
    <w:name w:val="citation-184"/>
    <w:basedOn w:val="DefaultParagraphFont"/>
    <w:rsid w:val="00A859E7"/>
  </w:style>
  <w:style w:type="character" w:customStyle="1" w:styleId="citation-183">
    <w:name w:val="citation-183"/>
    <w:basedOn w:val="DefaultParagraphFont"/>
    <w:rsid w:val="00A859E7"/>
  </w:style>
  <w:style w:type="character" w:customStyle="1" w:styleId="citation-182">
    <w:name w:val="citation-182"/>
    <w:basedOn w:val="DefaultParagraphFont"/>
    <w:rsid w:val="00A859E7"/>
  </w:style>
  <w:style w:type="character" w:customStyle="1" w:styleId="citation-181">
    <w:name w:val="citation-181"/>
    <w:basedOn w:val="DefaultParagraphFont"/>
    <w:rsid w:val="00A859E7"/>
  </w:style>
  <w:style w:type="character" w:customStyle="1" w:styleId="citation-180">
    <w:name w:val="citation-180"/>
    <w:basedOn w:val="DefaultParagraphFont"/>
    <w:rsid w:val="00A859E7"/>
  </w:style>
  <w:style w:type="character" w:customStyle="1" w:styleId="citation-179">
    <w:name w:val="citation-179"/>
    <w:basedOn w:val="DefaultParagraphFont"/>
    <w:rsid w:val="00A859E7"/>
  </w:style>
  <w:style w:type="character" w:customStyle="1" w:styleId="citation-178">
    <w:name w:val="citation-178"/>
    <w:basedOn w:val="DefaultParagraphFont"/>
    <w:rsid w:val="00A859E7"/>
  </w:style>
  <w:style w:type="character" w:customStyle="1" w:styleId="citation-177">
    <w:name w:val="citation-177"/>
    <w:basedOn w:val="DefaultParagraphFont"/>
    <w:rsid w:val="00A859E7"/>
  </w:style>
  <w:style w:type="character" w:customStyle="1" w:styleId="citation-176">
    <w:name w:val="citation-176"/>
    <w:basedOn w:val="DefaultParagraphFont"/>
    <w:rsid w:val="00A859E7"/>
  </w:style>
  <w:style w:type="character" w:customStyle="1" w:styleId="citation-175">
    <w:name w:val="citation-175"/>
    <w:basedOn w:val="DefaultParagraphFont"/>
    <w:rsid w:val="00A859E7"/>
  </w:style>
  <w:style w:type="character" w:customStyle="1" w:styleId="citation-174">
    <w:name w:val="citation-174"/>
    <w:basedOn w:val="DefaultParagraphFont"/>
    <w:rsid w:val="00A859E7"/>
  </w:style>
  <w:style w:type="character" w:customStyle="1" w:styleId="citation-173">
    <w:name w:val="citation-173"/>
    <w:basedOn w:val="DefaultParagraphFont"/>
    <w:rsid w:val="00A859E7"/>
  </w:style>
  <w:style w:type="character" w:customStyle="1" w:styleId="citation-172">
    <w:name w:val="citation-172"/>
    <w:basedOn w:val="DefaultParagraphFont"/>
    <w:rsid w:val="00A859E7"/>
  </w:style>
  <w:style w:type="character" w:customStyle="1" w:styleId="citation-171">
    <w:name w:val="citation-171"/>
    <w:basedOn w:val="DefaultParagraphFont"/>
    <w:rsid w:val="00A859E7"/>
  </w:style>
  <w:style w:type="character" w:customStyle="1" w:styleId="citation-170">
    <w:name w:val="citation-170"/>
    <w:basedOn w:val="DefaultParagraphFont"/>
    <w:rsid w:val="00A859E7"/>
  </w:style>
  <w:style w:type="character" w:customStyle="1" w:styleId="citation-169">
    <w:name w:val="citation-169"/>
    <w:basedOn w:val="DefaultParagraphFont"/>
    <w:rsid w:val="00A859E7"/>
  </w:style>
  <w:style w:type="character" w:customStyle="1" w:styleId="citation-168">
    <w:name w:val="citation-168"/>
    <w:basedOn w:val="DefaultParagraphFont"/>
    <w:rsid w:val="00A859E7"/>
  </w:style>
  <w:style w:type="character" w:customStyle="1" w:styleId="citation-167">
    <w:name w:val="citation-167"/>
    <w:basedOn w:val="DefaultParagraphFont"/>
    <w:rsid w:val="00A859E7"/>
  </w:style>
  <w:style w:type="character" w:customStyle="1" w:styleId="citation-166">
    <w:name w:val="citation-166"/>
    <w:basedOn w:val="DefaultParagraphFont"/>
    <w:rsid w:val="00A859E7"/>
  </w:style>
  <w:style w:type="paragraph" w:customStyle="1" w:styleId="ChecklistItem">
    <w:name w:val="Checklist Item"/>
    <w:basedOn w:val="Normal"/>
    <w:pPr>
      <w:spacing w:after="70" w:line="247" w:lineRule="auto"/>
      <w:ind w:left="331" w:hanging="331"/>
    </w:pPr>
  </w:style>
  <w:style w:type="paragraph" w:customStyle="1" w:styleId="ChecklistSubitem">
    <w:name w:val="Checklist Subitem"/>
    <w:basedOn w:val="Normal"/>
    <w:pPr>
      <w:spacing w:after="40" w:line="245" w:lineRule="auto"/>
      <w:ind w:left="893" w:hanging="259"/>
    </w:pPr>
  </w:style>
  <w:style w:type="paragraph" w:customStyle="1" w:styleId="TipBox">
    <w:name w:val="Tip Box"/>
    <w:basedOn w:val="Normal"/>
    <w:pPr>
      <w:shd w:val="clear" w:color="auto" w:fill="E7F3F3"/>
      <w:spacing w:before="80" w:after="120" w:line="247" w:lineRule="auto"/>
      <w:ind w:left="317" w:right="317"/>
    </w:pPr>
  </w:style>
  <w:style w:type="paragraph" w:customStyle="1" w:styleId="Disclaimer">
    <w:name w:val="Disclaimer"/>
    <w:basedOn w:val="Normal"/>
    <w:pPr>
      <w:keepLines/>
      <w:spacing w:before="240" w:after="0"/>
    </w:pPr>
    <w:rPr>
      <w:color w:val="5F5F5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987422">
      <w:bodyDiv w:val="1"/>
      <w:marLeft w:val="0"/>
      <w:marRight w:val="0"/>
      <w:marTop w:val="0"/>
      <w:marBottom w:val="0"/>
      <w:divBdr>
        <w:top w:val="none" w:sz="0" w:space="0" w:color="auto"/>
        <w:left w:val="none" w:sz="0" w:space="0" w:color="auto"/>
        <w:bottom w:val="none" w:sz="0" w:space="0" w:color="auto"/>
        <w:right w:val="none" w:sz="0" w:space="0" w:color="auto"/>
      </w:divBdr>
    </w:div>
    <w:div w:id="757478438">
      <w:bodyDiv w:val="1"/>
      <w:marLeft w:val="0"/>
      <w:marRight w:val="0"/>
      <w:marTop w:val="0"/>
      <w:marBottom w:val="0"/>
      <w:divBdr>
        <w:top w:val="none" w:sz="0" w:space="0" w:color="auto"/>
        <w:left w:val="none" w:sz="0" w:space="0" w:color="auto"/>
        <w:bottom w:val="none" w:sz="0" w:space="0" w:color="auto"/>
        <w:right w:val="none" w:sz="0" w:space="0" w:color="auto"/>
      </w:divBdr>
    </w:div>
    <w:div w:id="1476295170">
      <w:bodyDiv w:val="1"/>
      <w:marLeft w:val="0"/>
      <w:marRight w:val="0"/>
      <w:marTop w:val="0"/>
      <w:marBottom w:val="0"/>
      <w:divBdr>
        <w:top w:val="none" w:sz="0" w:space="0" w:color="auto"/>
        <w:left w:val="none" w:sz="0" w:space="0" w:color="auto"/>
        <w:bottom w:val="none" w:sz="0" w:space="0" w:color="auto"/>
        <w:right w:val="none" w:sz="0" w:space="0" w:color="auto"/>
      </w:divBdr>
    </w:div>
    <w:div w:id="1976252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VRTAC">
      <a:dk1>
        <a:srgbClr val="2D2828"/>
      </a:dk1>
      <a:lt1>
        <a:sysClr val="window" lastClr="FFFFFF"/>
      </a:lt1>
      <a:dk2>
        <a:srgbClr val="005250"/>
      </a:dk2>
      <a:lt2>
        <a:srgbClr val="D9D9D9"/>
      </a:lt2>
      <a:accent1>
        <a:srgbClr val="008080"/>
      </a:accent1>
      <a:accent2>
        <a:srgbClr val="891526"/>
      </a:accent2>
      <a:accent3>
        <a:srgbClr val="828282"/>
      </a:accent3>
      <a:accent4>
        <a:srgbClr val="008080"/>
      </a:accent4>
      <a:accent5>
        <a:srgbClr val="EDF1F2"/>
      </a:accent5>
      <a:accent6>
        <a:srgbClr val="005250"/>
      </a:accent6>
      <a:hlink>
        <a:srgbClr val="005250"/>
      </a:hlink>
      <a:folHlink>
        <a:srgbClr val="00808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rot5nJfpE+Pv+hJKNQylj8aiSw==">CgMxLjA4AHIhMUxNem5pMUpaZ2JZN2Eyay1VcXRuYTJLVExQWk9WbFBF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2145</Words>
  <Characters>12228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George Washington University</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VRTAC</dc:creator>
  <cp:lastModifiedBy>Minah Oh</cp:lastModifiedBy>
  <cp:revision>4</cp:revision>
  <dcterms:created xsi:type="dcterms:W3CDTF">2026-09-11T16:04:00Z</dcterms:created>
  <dcterms:modified xsi:type="dcterms:W3CDTF">2026-09-11T18:07:00Z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40703125-6836-4587-a9b4-0e8d1f51fff1</vt:lpwstr>
  </property>
</Properties>
</file>